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1000吨糖蜜糖蜜</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DLMY-CG-TM-20251106</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1000吨糖蜜糖蜜</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，甘肃德联牧业有限公司1000吨糖蜜糖蜜</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8CC56B3">
      <w:pPr>
        <w:pStyle w:val="3"/>
        <w:ind w:left="0" w:leftChars="0" w:firstLine="0" w:firstLineChars="0"/>
        <w:jc w:val="left"/>
        <w:rPr>
          <w:rFonts w:hint="eastAsia" w:eastAsia="宋体"/>
          <w:lang w:val="en-US" w:eastAsia="zh-CN"/>
        </w:rPr>
      </w:pPr>
      <w:r>
        <w:rPr>
          <w:rFonts w:hint="eastAsia"/>
          <w:lang w:val="en-US" w:eastAsia="zh-CN"/>
        </w:rPr>
        <w:t>糖蜜</w:t>
      </w:r>
    </w:p>
    <w:p w14:paraId="368E74EC">
      <w:pPr>
        <w:pStyle w:val="2"/>
        <w:spacing w:before="4"/>
        <w:rPr>
          <w:b/>
          <w:sz w:val="25"/>
        </w:rPr>
      </w:pPr>
    </w:p>
    <w:p w14:paraId="1214BA08">
      <w:pPr>
        <w:spacing w:before="0"/>
        <w:ind w:right="0"/>
        <w:jc w:val="both"/>
        <w:rPr>
          <w:b/>
          <w:sz w:val="24"/>
        </w:rPr>
      </w:pPr>
      <w:r>
        <w:rPr>
          <w:rFonts w:ascii="Times New Roman" w:eastAsia="Times New Roman"/>
          <w:b/>
          <w:sz w:val="24"/>
        </w:rPr>
        <w:t>1</w:t>
      </w:r>
      <w:r>
        <w:rPr>
          <w:b/>
          <w:sz w:val="24"/>
        </w:rPr>
        <w:t>、感官指标</w:t>
      </w:r>
    </w:p>
    <w:p w14:paraId="570E93D6">
      <w:pPr>
        <w:pStyle w:val="2"/>
        <w:spacing w:before="5"/>
        <w:rPr>
          <w:b/>
          <w:sz w:val="31"/>
        </w:rPr>
      </w:pPr>
    </w:p>
    <w:p w14:paraId="60E473B7">
      <w:pPr>
        <w:pStyle w:val="2"/>
        <w:spacing w:line="367" w:lineRule="auto"/>
        <w:ind w:right="1792" w:firstLine="480" w:firstLineChars="200"/>
      </w:pPr>
      <w:r>
        <w:rPr>
          <w:rFonts w:hint="eastAsia"/>
          <w:lang w:val="en-US" w:eastAsia="zh-CN"/>
        </w:rPr>
        <w:t>均匀、色泽一致、无发霉、变质、结块及异味、异臭</w:t>
      </w:r>
      <w:r>
        <w:t>。</w:t>
      </w:r>
    </w:p>
    <w:p w14:paraId="3191E72E">
      <w:pPr>
        <w:pStyle w:val="2"/>
        <w:spacing w:before="12"/>
        <w:rPr>
          <w:sz w:val="18"/>
        </w:rPr>
      </w:pPr>
    </w:p>
    <w:p w14:paraId="767D2F16">
      <w:pPr>
        <w:spacing w:before="0"/>
        <w:ind w:right="0"/>
        <w:jc w:val="left"/>
        <w:rPr>
          <w:b/>
          <w:sz w:val="24"/>
        </w:rPr>
      </w:pPr>
      <w:r>
        <w:rPr>
          <w:b/>
          <w:sz w:val="24"/>
        </w:rPr>
        <w:t>2、技术指标</w:t>
      </w:r>
    </w:p>
    <w:p w14:paraId="6C12A5B9">
      <w:pPr>
        <w:pStyle w:val="2"/>
        <w:spacing w:before="5"/>
        <w:rPr>
          <w:b/>
        </w:rPr>
      </w:pPr>
    </w:p>
    <w:tbl>
      <w:tblPr>
        <w:tblStyle w:val="5"/>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3832"/>
        <w:gridCol w:w="2415"/>
        <w:gridCol w:w="1540"/>
      </w:tblGrid>
      <w:tr w14:paraId="263E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992" w:type="dxa"/>
            <w:gridSpan w:val="2"/>
          </w:tcPr>
          <w:p w14:paraId="71494236">
            <w:pPr>
              <w:pStyle w:val="10"/>
              <w:spacing w:before="121"/>
              <w:ind w:left="2302" w:right="2278"/>
              <w:jc w:val="center"/>
              <w:rPr>
                <w:b/>
                <w:sz w:val="18"/>
              </w:rPr>
            </w:pPr>
            <w:r>
              <w:rPr>
                <w:b/>
                <w:sz w:val="18"/>
              </w:rPr>
              <w:t>项目</w:t>
            </w:r>
          </w:p>
        </w:tc>
        <w:tc>
          <w:tcPr>
            <w:tcW w:w="2415" w:type="dxa"/>
          </w:tcPr>
          <w:p w14:paraId="7F209E13">
            <w:pPr>
              <w:pStyle w:val="10"/>
              <w:spacing w:before="121"/>
              <w:ind w:left="479"/>
              <w:rPr>
                <w:b/>
                <w:sz w:val="18"/>
              </w:rPr>
            </w:pPr>
            <w:r>
              <w:rPr>
                <w:b/>
                <w:sz w:val="18"/>
              </w:rPr>
              <w:t>指标</w:t>
            </w:r>
          </w:p>
        </w:tc>
        <w:tc>
          <w:tcPr>
            <w:tcW w:w="1540" w:type="dxa"/>
          </w:tcPr>
          <w:p w14:paraId="027FF6D8">
            <w:pPr>
              <w:pStyle w:val="10"/>
              <w:spacing w:before="121"/>
              <w:ind w:left="297" w:right="279"/>
              <w:jc w:val="center"/>
              <w:rPr>
                <w:b/>
                <w:sz w:val="18"/>
              </w:rPr>
            </w:pPr>
            <w:r>
              <w:rPr>
                <w:b/>
                <w:sz w:val="18"/>
              </w:rPr>
              <w:t>检验要求</w:t>
            </w:r>
          </w:p>
        </w:tc>
      </w:tr>
      <w:tr w14:paraId="0C6E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1160" w:type="dxa"/>
            <w:vMerge w:val="restart"/>
          </w:tcPr>
          <w:p w14:paraId="21A3147D">
            <w:pPr>
              <w:pStyle w:val="10"/>
              <w:rPr>
                <w:b/>
                <w:sz w:val="18"/>
              </w:rPr>
            </w:pPr>
          </w:p>
          <w:p w14:paraId="2305A752">
            <w:pPr>
              <w:pStyle w:val="10"/>
              <w:rPr>
                <w:b/>
                <w:sz w:val="18"/>
              </w:rPr>
            </w:pPr>
          </w:p>
          <w:p w14:paraId="45589D3B">
            <w:pPr>
              <w:pStyle w:val="10"/>
              <w:rPr>
                <w:b/>
                <w:sz w:val="18"/>
              </w:rPr>
            </w:pPr>
          </w:p>
          <w:p w14:paraId="509F74D5">
            <w:pPr>
              <w:pStyle w:val="10"/>
              <w:spacing w:before="150"/>
              <w:ind w:left="223"/>
              <w:rPr>
                <w:sz w:val="18"/>
              </w:rPr>
            </w:pPr>
          </w:p>
          <w:p w14:paraId="070AB0F9">
            <w:pPr>
              <w:pStyle w:val="10"/>
              <w:spacing w:before="150"/>
              <w:ind w:left="223"/>
              <w:rPr>
                <w:sz w:val="18"/>
              </w:rPr>
            </w:pPr>
            <w:r>
              <w:rPr>
                <w:sz w:val="18"/>
              </w:rPr>
              <w:t>理化指标</w:t>
            </w:r>
          </w:p>
        </w:tc>
        <w:tc>
          <w:tcPr>
            <w:tcW w:w="3832" w:type="dxa"/>
          </w:tcPr>
          <w:p w14:paraId="631C79FB">
            <w:pPr>
              <w:pStyle w:val="10"/>
              <w:spacing w:before="122"/>
              <w:ind w:left="111"/>
              <w:jc w:val="left"/>
              <w:rPr>
                <w:rFonts w:hint="eastAsia"/>
                <w:b w:val="0"/>
                <w:bCs w:val="0"/>
                <w:color w:val="auto"/>
                <w:sz w:val="18"/>
                <w:lang w:val="en-US" w:eastAsia="zh-CN"/>
              </w:rPr>
            </w:pPr>
            <w:r>
              <w:rPr>
                <w:rFonts w:hint="eastAsia"/>
                <w:b w:val="0"/>
                <w:bCs w:val="0"/>
                <w:color w:val="auto"/>
                <w:sz w:val="18"/>
                <w:lang w:val="en-US" w:eastAsia="zh-CN"/>
              </w:rPr>
              <w:t>水分（%）</w:t>
            </w:r>
          </w:p>
        </w:tc>
        <w:tc>
          <w:tcPr>
            <w:tcW w:w="2415" w:type="dxa"/>
          </w:tcPr>
          <w:p w14:paraId="4FD92CD4">
            <w:pPr>
              <w:pStyle w:val="10"/>
              <w:spacing w:before="122"/>
              <w:ind w:left="111"/>
              <w:jc w:val="center"/>
              <w:rPr>
                <w:rFonts w:hint="default"/>
                <w:b w:val="0"/>
                <w:bCs w:val="0"/>
                <w:color w:val="auto"/>
                <w:sz w:val="18"/>
                <w:lang w:val="en-US" w:eastAsia="zh-CN"/>
              </w:rPr>
            </w:pPr>
            <w:r>
              <w:rPr>
                <w:rFonts w:hint="eastAsia"/>
                <w:b w:val="0"/>
                <w:bCs w:val="0"/>
                <w:color w:val="auto"/>
                <w:sz w:val="18"/>
                <w:lang w:val="en-US" w:eastAsia="zh-CN"/>
              </w:rPr>
              <w:t>≤56.0</w:t>
            </w:r>
          </w:p>
        </w:tc>
        <w:tc>
          <w:tcPr>
            <w:tcW w:w="1540" w:type="dxa"/>
          </w:tcPr>
          <w:p w14:paraId="2A26A624">
            <w:pPr>
              <w:pStyle w:val="10"/>
              <w:spacing w:before="122"/>
              <w:ind w:left="111"/>
              <w:jc w:val="center"/>
              <w:rPr>
                <w:rFonts w:hint="eastAsia"/>
                <w:b w:val="0"/>
                <w:bCs w:val="0"/>
                <w:color w:val="auto"/>
                <w:sz w:val="18"/>
                <w:lang w:val="en-US" w:eastAsia="zh-CN"/>
              </w:rPr>
            </w:pPr>
            <w:r>
              <w:rPr>
                <w:rFonts w:hint="eastAsia"/>
                <w:b w:val="0"/>
                <w:bCs w:val="0"/>
                <w:color w:val="auto"/>
                <w:sz w:val="18"/>
                <w:lang w:val="en-US" w:eastAsia="zh-CN"/>
              </w:rPr>
              <w:t>必检</w:t>
            </w:r>
          </w:p>
        </w:tc>
      </w:tr>
      <w:tr w14:paraId="662C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60" w:type="dxa"/>
            <w:vMerge w:val="continue"/>
          </w:tcPr>
          <w:p w14:paraId="5485C046">
            <w:pPr>
              <w:rPr>
                <w:sz w:val="2"/>
                <w:szCs w:val="2"/>
              </w:rPr>
            </w:pPr>
          </w:p>
        </w:tc>
        <w:tc>
          <w:tcPr>
            <w:tcW w:w="3832" w:type="dxa"/>
          </w:tcPr>
          <w:p w14:paraId="1E3155ED">
            <w:pPr>
              <w:pStyle w:val="10"/>
              <w:spacing w:before="120"/>
              <w:ind w:left="111"/>
              <w:rPr>
                <w:sz w:val="18"/>
              </w:rPr>
            </w:pPr>
            <w:r>
              <w:rPr>
                <w:rFonts w:hint="eastAsia"/>
                <w:sz w:val="18"/>
                <w:lang w:val="en-US" w:eastAsia="zh-CN"/>
              </w:rPr>
              <w:t>粗灰分</w:t>
            </w:r>
            <w:r>
              <w:rPr>
                <w:sz w:val="18"/>
              </w:rPr>
              <w:t>（</w:t>
            </w:r>
            <w:r>
              <w:rPr>
                <w:rFonts w:ascii="Times New Roman" w:eastAsia="Times New Roman"/>
                <w:sz w:val="18"/>
              </w:rPr>
              <w:t>%</w:t>
            </w:r>
            <w:r>
              <w:rPr>
                <w:sz w:val="18"/>
              </w:rPr>
              <w:t>）</w:t>
            </w:r>
          </w:p>
        </w:tc>
        <w:tc>
          <w:tcPr>
            <w:tcW w:w="2415" w:type="dxa"/>
          </w:tcPr>
          <w:p w14:paraId="7CD281CF">
            <w:pPr>
              <w:pStyle w:val="10"/>
              <w:spacing w:before="120"/>
              <w:ind w:left="482" w:firstLine="540" w:firstLineChars="300"/>
              <w:rPr>
                <w:rFonts w:hint="eastAsia" w:ascii="Times New Roman" w:hAnsi="Times New Roman" w:eastAsia="宋体"/>
                <w:sz w:val="18"/>
                <w:lang w:val="en-US" w:eastAsia="zh-CN"/>
              </w:rPr>
            </w:pPr>
            <w:r>
              <w:rPr>
                <w:sz w:val="18"/>
              </w:rPr>
              <w:t>≤</w:t>
            </w:r>
            <w:r>
              <w:rPr>
                <w:rFonts w:hint="eastAsia"/>
                <w:sz w:val="18"/>
                <w:lang w:val="en-US" w:eastAsia="zh-CN"/>
              </w:rPr>
              <w:t>1</w:t>
            </w:r>
          </w:p>
        </w:tc>
        <w:tc>
          <w:tcPr>
            <w:tcW w:w="1540" w:type="dxa"/>
          </w:tcPr>
          <w:p w14:paraId="6DF4D6CD">
            <w:pPr>
              <w:pStyle w:val="10"/>
              <w:spacing w:before="120"/>
              <w:ind w:left="297" w:right="276"/>
              <w:jc w:val="center"/>
              <w:rPr>
                <w:sz w:val="18"/>
              </w:rPr>
            </w:pPr>
            <w:r>
              <w:rPr>
                <w:sz w:val="18"/>
              </w:rPr>
              <w:t>必检</w:t>
            </w:r>
          </w:p>
        </w:tc>
      </w:tr>
      <w:tr w14:paraId="0231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60" w:type="dxa"/>
            <w:vMerge w:val="continue"/>
          </w:tcPr>
          <w:p w14:paraId="54C50D25">
            <w:pPr>
              <w:rPr>
                <w:sz w:val="2"/>
                <w:szCs w:val="2"/>
              </w:rPr>
            </w:pPr>
          </w:p>
        </w:tc>
        <w:tc>
          <w:tcPr>
            <w:tcW w:w="3832" w:type="dxa"/>
          </w:tcPr>
          <w:p w14:paraId="14CF8522">
            <w:pPr>
              <w:pStyle w:val="10"/>
              <w:spacing w:before="119"/>
              <w:ind w:left="111"/>
              <w:rPr>
                <w:color w:val="auto"/>
                <w:sz w:val="18"/>
              </w:rPr>
            </w:pPr>
            <w:r>
              <w:rPr>
                <w:rFonts w:hint="eastAsia"/>
                <w:color w:val="auto"/>
                <w:sz w:val="18"/>
                <w:lang w:val="en-US" w:eastAsia="zh-CN"/>
              </w:rPr>
              <w:t>酸度</w:t>
            </w:r>
            <w:r>
              <w:rPr>
                <w:color w:val="auto"/>
                <w:sz w:val="18"/>
              </w:rPr>
              <w:t>（</w:t>
            </w:r>
            <w:r>
              <w:rPr>
                <w:rFonts w:ascii="Times New Roman" w:eastAsia="Times New Roman"/>
                <w:color w:val="auto"/>
                <w:sz w:val="18"/>
              </w:rPr>
              <w:t>%</w:t>
            </w:r>
            <w:r>
              <w:rPr>
                <w:color w:val="auto"/>
                <w:sz w:val="18"/>
              </w:rPr>
              <w:t>）</w:t>
            </w:r>
          </w:p>
        </w:tc>
        <w:tc>
          <w:tcPr>
            <w:tcW w:w="2415" w:type="dxa"/>
          </w:tcPr>
          <w:p w14:paraId="7B2185D0">
            <w:pPr>
              <w:pStyle w:val="10"/>
              <w:spacing w:before="119"/>
              <w:ind w:right="1017" w:firstLine="1080" w:firstLineChars="600"/>
              <w:jc w:val="both"/>
              <w:rPr>
                <w:rFonts w:hint="default" w:ascii="Times New Roman" w:hAnsi="Times New Roman" w:eastAsia="宋体"/>
                <w:color w:val="auto"/>
                <w:sz w:val="18"/>
                <w:lang w:val="en-US" w:eastAsia="zh-CN"/>
              </w:rPr>
            </w:pPr>
            <w:r>
              <w:rPr>
                <w:color w:val="auto"/>
                <w:sz w:val="18"/>
              </w:rPr>
              <w:t>≤</w:t>
            </w:r>
            <w:r>
              <w:rPr>
                <w:rFonts w:hint="eastAsia"/>
                <w:color w:val="auto"/>
                <w:sz w:val="18"/>
                <w:lang w:val="en-US" w:eastAsia="zh-CN"/>
              </w:rPr>
              <w:t>1</w:t>
            </w:r>
          </w:p>
        </w:tc>
        <w:tc>
          <w:tcPr>
            <w:tcW w:w="1540" w:type="dxa"/>
          </w:tcPr>
          <w:p w14:paraId="4D7D31CD">
            <w:pPr>
              <w:pStyle w:val="10"/>
              <w:spacing w:before="119"/>
              <w:ind w:left="297" w:right="276"/>
              <w:jc w:val="center"/>
              <w:rPr>
                <w:rFonts w:hint="eastAsia" w:eastAsia="宋体"/>
                <w:color w:val="auto"/>
                <w:sz w:val="18"/>
                <w:lang w:eastAsia="zh-CN"/>
              </w:rPr>
            </w:pPr>
            <w:r>
              <w:rPr>
                <w:rFonts w:hint="eastAsia"/>
                <w:color w:val="auto"/>
                <w:sz w:val="18"/>
                <w:lang w:val="en-US" w:eastAsia="zh-CN"/>
              </w:rPr>
              <w:t>必检</w:t>
            </w:r>
          </w:p>
        </w:tc>
      </w:tr>
      <w:tr w14:paraId="07D2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14:paraId="34C0FC69">
            <w:pPr>
              <w:rPr>
                <w:sz w:val="2"/>
                <w:szCs w:val="2"/>
              </w:rPr>
            </w:pPr>
          </w:p>
        </w:tc>
        <w:tc>
          <w:tcPr>
            <w:tcW w:w="3832" w:type="dxa"/>
          </w:tcPr>
          <w:p w14:paraId="22AE2AAC">
            <w:pPr>
              <w:pStyle w:val="10"/>
              <w:spacing w:before="122"/>
              <w:ind w:left="111"/>
              <w:rPr>
                <w:rFonts w:hint="eastAsia" w:eastAsia="宋体"/>
                <w:sz w:val="18"/>
                <w:lang w:eastAsia="zh-CN"/>
              </w:rPr>
            </w:pPr>
            <w:r>
              <w:rPr>
                <w:rFonts w:hint="eastAsia"/>
                <w:color w:val="auto"/>
                <w:sz w:val="18"/>
                <w:lang w:val="en-US" w:eastAsia="zh-CN"/>
              </w:rPr>
              <w:t>葡萄糖</w:t>
            </w:r>
            <w:r>
              <w:rPr>
                <w:sz w:val="18"/>
              </w:rPr>
              <w:t>（</w:t>
            </w:r>
            <w:r>
              <w:rPr>
                <w:rFonts w:ascii="Times New Roman" w:eastAsia="Times New Roman"/>
                <w:sz w:val="18"/>
              </w:rPr>
              <w:t>%</w:t>
            </w:r>
            <w:r>
              <w:rPr>
                <w:rFonts w:hint="eastAsia" w:ascii="Times New Roman" w:eastAsia="宋体"/>
                <w:sz w:val="18"/>
                <w:lang w:val="en-US" w:eastAsia="zh-CN"/>
              </w:rPr>
              <w:t>DM</w:t>
            </w:r>
            <w:r>
              <w:rPr>
                <w:rFonts w:hint="eastAsia" w:ascii="Times New Roman" w:eastAsia="宋体"/>
                <w:sz w:val="18"/>
                <w:lang w:eastAsia="zh-CN"/>
              </w:rPr>
              <w:t>）</w:t>
            </w:r>
          </w:p>
        </w:tc>
        <w:tc>
          <w:tcPr>
            <w:tcW w:w="2415" w:type="dxa"/>
          </w:tcPr>
          <w:p w14:paraId="48439A75">
            <w:pPr>
              <w:pStyle w:val="10"/>
              <w:spacing w:before="119"/>
              <w:ind w:right="1015" w:firstLine="900" w:firstLineChars="500"/>
              <w:jc w:val="both"/>
              <w:rPr>
                <w:rFonts w:hint="default" w:ascii="Times New Roman" w:hAnsi="Times New Roman" w:eastAsia="宋体"/>
                <w:sz w:val="18"/>
                <w:lang w:val="en-US" w:eastAsia="zh-CN"/>
              </w:rPr>
            </w:pPr>
            <w:r>
              <w:rPr>
                <w:rFonts w:hint="eastAsia" w:ascii="Times New Roman" w:hAnsi="Times New Roman"/>
                <w:sz w:val="18"/>
                <w:lang w:val="en-US" w:eastAsia="zh-CN"/>
              </w:rPr>
              <w:t>≥42</w:t>
            </w:r>
          </w:p>
        </w:tc>
        <w:tc>
          <w:tcPr>
            <w:tcW w:w="1540" w:type="dxa"/>
          </w:tcPr>
          <w:p w14:paraId="6CDBFAE2">
            <w:pPr>
              <w:pStyle w:val="10"/>
              <w:spacing w:before="119"/>
              <w:ind w:left="297" w:right="276"/>
              <w:jc w:val="center"/>
              <w:rPr>
                <w:sz w:val="18"/>
              </w:rPr>
            </w:pPr>
            <w:r>
              <w:rPr>
                <w:sz w:val="18"/>
              </w:rPr>
              <w:t>必检</w:t>
            </w:r>
          </w:p>
        </w:tc>
      </w:tr>
      <w:tr w14:paraId="45FF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947" w:type="dxa"/>
            <w:gridSpan w:val="4"/>
          </w:tcPr>
          <w:p w14:paraId="16A7B6FF">
            <w:pPr>
              <w:pStyle w:val="10"/>
              <w:spacing w:before="119"/>
              <w:ind w:left="297" w:right="276"/>
              <w:jc w:val="center"/>
              <w:rPr>
                <w:sz w:val="18"/>
              </w:rPr>
            </w:pPr>
            <w:r>
              <w:rPr>
                <w:sz w:val="18"/>
              </w:rPr>
              <w:t>其他卫生指标执行</w:t>
            </w:r>
            <w:r>
              <w:rPr>
                <w:rFonts w:ascii="Times New Roman" w:eastAsia="Times New Roman"/>
                <w:sz w:val="18"/>
              </w:rPr>
              <w:t xml:space="preserve">GB13078-2017 </w:t>
            </w:r>
            <w:r>
              <w:rPr>
                <w:sz w:val="18"/>
              </w:rPr>
              <w:t>规定标准</w:t>
            </w:r>
          </w:p>
        </w:tc>
      </w:tr>
    </w:tbl>
    <w:p w14:paraId="5E4D3313">
      <w:pPr>
        <w:pStyle w:val="2"/>
        <w:spacing w:before="8"/>
        <w:rPr>
          <w:b/>
          <w:sz w:val="22"/>
        </w:rPr>
      </w:pPr>
    </w:p>
    <w:p w14:paraId="51A0A434">
      <w:pPr>
        <w:spacing w:before="76"/>
        <w:ind w:right="0"/>
        <w:jc w:val="left"/>
        <w:rPr>
          <w:b/>
          <w:sz w:val="24"/>
        </w:rPr>
      </w:pPr>
      <w:r>
        <w:rPr>
          <w:rFonts w:ascii="Times New Roman" w:eastAsia="Times New Roman"/>
          <w:b/>
          <w:sz w:val="24"/>
        </w:rPr>
        <w:t>3</w:t>
      </w:r>
      <w:r>
        <w:rPr>
          <w:b/>
          <w:sz w:val="24"/>
        </w:rPr>
        <w:t>、标签标识</w:t>
      </w:r>
    </w:p>
    <w:p w14:paraId="1611C7DF">
      <w:pPr>
        <w:pStyle w:val="2"/>
        <w:spacing w:before="163"/>
        <w:rPr>
          <w:rFonts w:hint="eastAsia" w:ascii="仿宋" w:hAnsi="仿宋" w:eastAsia="仿宋" w:cs="仿宋"/>
          <w:b/>
          <w:bCs/>
          <w:sz w:val="28"/>
          <w:szCs w:val="28"/>
          <w:lang w:val="en-US" w:eastAsia="zh-CN"/>
        </w:rPr>
      </w:pPr>
      <w:r>
        <w:t xml:space="preserve">标签标识符合 </w:t>
      </w:r>
      <w:r>
        <w:rPr>
          <w:rFonts w:ascii="Times New Roman" w:eastAsia="Times New Roman"/>
        </w:rPr>
        <w:t>GB10648-2013</w:t>
      </w:r>
      <w:r>
        <w:t>中相关要求。</w:t>
      </w:r>
    </w:p>
    <w:p w14:paraId="7147808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F5881C8">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DC80A6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2F508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7E172242">
      <w:pPr>
        <w:spacing w:before="78" w:line="315" w:lineRule="exact"/>
        <w:rPr>
          <w:rFonts w:hint="default" w:ascii="仿宋" w:hAnsi="仿宋" w:eastAsia="仿宋" w:cs="仿宋"/>
          <w:b/>
          <w:bCs/>
          <w:sz w:val="24"/>
          <w:szCs w:val="24"/>
        </w:rPr>
      </w:pPr>
      <w:r>
        <w:rPr>
          <w:rFonts w:hint="default" w:ascii="仿宋" w:hAnsi="仿宋" w:eastAsia="仿宋" w:cs="仿宋"/>
          <w:b/>
          <w:bCs/>
          <w:sz w:val="24"/>
          <w:szCs w:val="24"/>
        </w:rPr>
        <w:t>4、投标供应商需缴纳投标保证金10万元，未中标者押金会在开标结束后</w:t>
      </w:r>
      <w:r>
        <w:rPr>
          <w:rFonts w:hint="eastAsia" w:ascii="仿宋" w:hAnsi="仿宋" w:eastAsia="仿宋" w:cs="仿宋"/>
          <w:b/>
          <w:bCs/>
          <w:sz w:val="24"/>
          <w:szCs w:val="24"/>
          <w:lang w:val="en-US" w:eastAsia="zh-CN"/>
        </w:rPr>
        <w:t>8个工作日</w:t>
      </w:r>
      <w:r>
        <w:rPr>
          <w:rFonts w:hint="default" w:ascii="仿宋" w:hAnsi="仿宋" w:eastAsia="仿宋" w:cs="仿宋"/>
          <w:b/>
          <w:bCs/>
          <w:sz w:val="24"/>
          <w:szCs w:val="24"/>
        </w:rPr>
        <w:t>内返还，中标者作为质量保证金，合作期间暂不予返还</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 xml:space="preserve">供应完毕后30日内返还 </w:t>
      </w:r>
      <w:r>
        <w:rPr>
          <w:rFonts w:hint="default" w:ascii="仿宋" w:hAnsi="仿宋" w:eastAsia="仿宋" w:cs="仿宋"/>
          <w:b/>
          <w:bCs/>
          <w:sz w:val="24"/>
          <w:szCs w:val="24"/>
        </w:rPr>
        <w:t>。</w:t>
      </w:r>
    </w:p>
    <w:p w14:paraId="2A1295F7">
      <w:pPr>
        <w:spacing w:before="78" w:line="315" w:lineRule="exact"/>
        <w:rPr>
          <w:rFonts w:hint="default" w:ascii="仿宋" w:hAnsi="仿宋" w:eastAsia="仿宋" w:cs="仿宋"/>
          <w:b/>
          <w:bCs/>
          <w:sz w:val="24"/>
          <w:szCs w:val="24"/>
        </w:rPr>
      </w:pPr>
      <w:r>
        <w:rPr>
          <w:rFonts w:hint="eastAsia" w:ascii="仿宋" w:hAnsi="仿宋" w:eastAsia="仿宋" w:cs="仿宋"/>
          <w:b/>
          <w:bCs/>
          <w:sz w:val="24"/>
          <w:szCs w:val="24"/>
          <w:lang w:val="en-US" w:eastAsia="zh-CN"/>
        </w:rPr>
        <w:t>5</w:t>
      </w:r>
      <w:r>
        <w:rPr>
          <w:rFonts w:hint="default" w:ascii="仿宋" w:hAnsi="仿宋" w:eastAsia="仿宋" w:cs="仿宋"/>
          <w:b/>
          <w:bCs/>
          <w:sz w:val="24"/>
          <w:szCs w:val="24"/>
        </w:rPr>
        <w:t>、甲方会对每批次样品进行留样（每批次取样时，乙方可安排人员监督，如未安排，视为认可本次取样），并送第三方外检，如检测结果不合格，甲方按照损失从乙方保证金里扣除，如损失超出保证金总额，剩余部分由乙方承担。</w:t>
      </w:r>
    </w:p>
    <w:p w14:paraId="03012E7A">
      <w:pPr>
        <w:pStyle w:val="2"/>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bookmarkStart w:id="0" w:name="_GoBack"/>
      <w:bookmarkEnd w:id="0"/>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1C7B199C">
      <w:pPr>
        <w:spacing w:line="318" w:lineRule="auto"/>
        <w:rPr>
          <w:rFonts w:ascii="Arial"/>
          <w:sz w:val="21"/>
        </w:rPr>
      </w:pPr>
    </w:p>
    <w:p w14:paraId="2C19497A">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9E7EA85"/>
    <w:p w14:paraId="77DCE630"/>
    <w:p w14:paraId="3FAEA1F8"/>
    <w:p w14:paraId="1B27374F">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3A235361">
      <w:pPr>
        <w:spacing w:line="269" w:lineRule="auto"/>
        <w:rPr>
          <w:rFonts w:ascii="Arial"/>
          <w:sz w:val="21"/>
        </w:rPr>
      </w:pPr>
    </w:p>
    <w:p w14:paraId="265D0AE5">
      <w:pPr>
        <w:spacing w:line="270" w:lineRule="auto"/>
        <w:rPr>
          <w:rFonts w:ascii="Arial"/>
          <w:sz w:val="21"/>
        </w:rPr>
      </w:pPr>
    </w:p>
    <w:p w14:paraId="6F3A762D">
      <w:pPr>
        <w:spacing w:line="270" w:lineRule="auto"/>
        <w:rPr>
          <w:rFonts w:ascii="Arial"/>
          <w:sz w:val="21"/>
        </w:rPr>
      </w:pPr>
    </w:p>
    <w:p w14:paraId="4F868500">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6D97FD6">
      <w:pPr>
        <w:spacing w:line="251" w:lineRule="auto"/>
        <w:rPr>
          <w:rFonts w:ascii="Arial"/>
          <w:sz w:val="21"/>
        </w:rPr>
      </w:pPr>
    </w:p>
    <w:p w14:paraId="20695A63">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1C67EA1">
      <w:pPr>
        <w:spacing w:line="252" w:lineRule="auto"/>
        <w:rPr>
          <w:rFonts w:ascii="Arial"/>
          <w:sz w:val="21"/>
        </w:rPr>
      </w:pPr>
    </w:p>
    <w:p w14:paraId="49BB5697">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899A884">
      <w:pPr>
        <w:sectPr>
          <w:footerReference r:id="rId18" w:type="default"/>
          <w:pgSz w:w="11905" w:h="16840"/>
          <w:pgMar w:top="400" w:right="1284" w:bottom="615" w:left="1665" w:header="0" w:footer="454" w:gutter="0"/>
          <w:pgNumType w:fmt="numberInDash"/>
          <w:cols w:space="720" w:num="1"/>
        </w:sectPr>
      </w:pPr>
    </w:p>
    <w:p w14:paraId="36DC0CA3">
      <w:pPr>
        <w:spacing w:line="317" w:lineRule="auto"/>
        <w:rPr>
          <w:rFonts w:ascii="Arial"/>
          <w:sz w:val="21"/>
        </w:rPr>
      </w:pPr>
    </w:p>
    <w:p w14:paraId="6968D907">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340D61EF">
            <w:pPr>
              <w:rPr>
                <w:rFonts w:hint="default"/>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5DC02256">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DBD284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46A63BAA">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A0E6BA2">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0D67688">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C2A6B7C">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CC88D09">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1D9AA2A8">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C372149">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052FAFBE">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743B58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7B11E3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5244A73A">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96C112B">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5602B3EE">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7A02027">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17705672">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67B6">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C0B64">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E4C0B64">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31A3B1D"/>
    <w:rsid w:val="14987876"/>
    <w:rsid w:val="157E728A"/>
    <w:rsid w:val="178E0D13"/>
    <w:rsid w:val="1AE53153"/>
    <w:rsid w:val="1F8354AA"/>
    <w:rsid w:val="201E3CCF"/>
    <w:rsid w:val="20C560FB"/>
    <w:rsid w:val="22887589"/>
    <w:rsid w:val="24445566"/>
    <w:rsid w:val="25F8392C"/>
    <w:rsid w:val="2A306E84"/>
    <w:rsid w:val="33A04957"/>
    <w:rsid w:val="385C0B47"/>
    <w:rsid w:val="3E01609F"/>
    <w:rsid w:val="40081B38"/>
    <w:rsid w:val="41C02A79"/>
    <w:rsid w:val="4240189B"/>
    <w:rsid w:val="43881600"/>
    <w:rsid w:val="4445400D"/>
    <w:rsid w:val="470019DC"/>
    <w:rsid w:val="4E060AA2"/>
    <w:rsid w:val="4FD96638"/>
    <w:rsid w:val="52CE2EF3"/>
    <w:rsid w:val="53252A3D"/>
    <w:rsid w:val="540F6DC6"/>
    <w:rsid w:val="54EB07F1"/>
    <w:rsid w:val="59270DD1"/>
    <w:rsid w:val="5972668C"/>
    <w:rsid w:val="5B2352A6"/>
    <w:rsid w:val="5BE80ADD"/>
    <w:rsid w:val="5C286806"/>
    <w:rsid w:val="5E130032"/>
    <w:rsid w:val="5E746C10"/>
    <w:rsid w:val="631725C7"/>
    <w:rsid w:val="642D4379"/>
    <w:rsid w:val="667F482F"/>
    <w:rsid w:val="67C731CF"/>
    <w:rsid w:val="684E413D"/>
    <w:rsid w:val="6D782F21"/>
    <w:rsid w:val="6E625752"/>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136</Words>
  <Characters>167</Characters>
  <TotalTime>0</TotalTime>
  <ScaleCrop>false</ScaleCrop>
  <LinksUpToDate>false</LinksUpToDate>
  <CharactersWithSpaces>191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2025-10-31T03:31:44Z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2052-12.1.0.23125</vt:lpwstr>
  </property>
  <property fmtid="{D5CDD505-2E9C-101B-9397-08002B2CF9AE}" pid="5" name="ICV">
    <vt:lpwstr>84D2111B49C245049189463BF748E38D_12</vt:lpwstr>
  </property>
  <property fmtid="{D5CDD505-2E9C-101B-9397-08002B2CF9AE}" pid="6" name="KSOTemplateDocerSaveRecord">
    <vt:lpwstr>eyJoZGlkIjoiZjZkZDY3NjY4ZDQ1NTg2NWE5MTQ5MTE1OTIzNmY4MmIiLCJ1c2VySWQiOiIyNDQ5MDE3MzQifQ==</vt:lpwstr>
  </property>
</Properties>
</file>