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1900吨棉粕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SKY-CG-MP-20251120</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1900吨棉粕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1900吨棉粕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457A8B5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b/>
          <w:sz w:val="44"/>
          <w:szCs w:val="44"/>
          <w:lang w:val="en-US" w:eastAsia="zh-CN"/>
        </w:rPr>
      </w:pPr>
      <w:r>
        <w:rPr>
          <w:rFonts w:hint="eastAsia" w:ascii="宋体" w:hAnsi="宋体" w:eastAsia="宋体" w:cs="宋体"/>
          <w:b w:val="0"/>
          <w:bCs w:val="0"/>
          <w:spacing w:val="-3"/>
          <w:sz w:val="44"/>
          <w:szCs w:val="44"/>
          <w:lang w:val="en-US" w:eastAsia="zh-CN"/>
          <w14:textOutline w14:w="5587" w14:cap="flat" w14:cmpd="sng">
            <w14:solidFill>
              <w14:srgbClr w14:val="000000"/>
            </w14:solidFill>
            <w14:prstDash w14:val="solid"/>
            <w14:miter w14:val="0"/>
          </w14:textOutline>
        </w:rPr>
        <w:t>质量标准</w:t>
      </w:r>
    </w:p>
    <w:p w14:paraId="54FB4BE2">
      <w:pPr>
        <w:keepNext w:val="0"/>
        <w:keepLines w:val="0"/>
        <w:pageBreakBefore w:val="0"/>
        <w:widowControl w:val="0"/>
        <w:kinsoku/>
        <w:overflowPunct/>
        <w:topLinePunct w:val="0"/>
        <w:autoSpaceDE/>
        <w:autoSpaceDN/>
        <w:bidi w:val="0"/>
        <w:spacing w:line="288" w:lineRule="auto"/>
        <w:ind w:firstLine="480" w:firstLineChars="200"/>
        <w:jc w:val="lef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1、感官指标</w:t>
      </w:r>
    </w:p>
    <w:p w14:paraId="1239A32D">
      <w:pPr>
        <w:keepNext w:val="0"/>
        <w:keepLines w:val="0"/>
        <w:pageBreakBefore w:val="0"/>
        <w:widowControl w:val="0"/>
        <w:kinsoku/>
        <w:overflowPunct/>
        <w:topLinePunct w:val="0"/>
        <w:autoSpaceDE/>
        <w:autoSpaceDN/>
        <w:bidi w:val="0"/>
        <w:spacing w:line="288" w:lineRule="auto"/>
        <w:ind w:firstLine="480" w:firstLineChars="200"/>
        <w:jc w:val="left"/>
        <w:textAlignment w:val="auto"/>
        <w:rPr>
          <w:rFonts w:hint="eastAsia" w:ascii="仿宋" w:hAnsi="仿宋" w:eastAsia="仿宋"/>
          <w:color w:val="auto"/>
          <w:sz w:val="24"/>
          <w:szCs w:val="24"/>
        </w:rPr>
      </w:pPr>
      <w:r>
        <w:rPr>
          <w:rFonts w:hint="eastAsia" w:ascii="仿宋" w:hAnsi="仿宋" w:eastAsia="仿宋"/>
          <w:color w:val="auto"/>
          <w:sz w:val="24"/>
          <w:szCs w:val="24"/>
        </w:rPr>
        <w:t>颜色为黄褐色或金黄色，色泽均匀一致；具有产品固有的气味，无异味，无异臭；呈小片状或粗粉状，有时夹杂小颗粒，无霉变、无结块、无污染、无杂物</w:t>
      </w:r>
      <w:r>
        <w:rPr>
          <w:rFonts w:hint="eastAsia" w:ascii="仿宋" w:hAnsi="仿宋" w:eastAsia="仿宋"/>
          <w:color w:val="auto"/>
          <w:sz w:val="24"/>
          <w:szCs w:val="24"/>
          <w:lang w:eastAsia="zh-CN"/>
        </w:rPr>
        <w:t>。</w:t>
      </w:r>
    </w:p>
    <w:p w14:paraId="663B56BB">
      <w:pPr>
        <w:spacing w:line="560" w:lineRule="exact"/>
        <w:ind w:firstLine="240" w:firstLineChars="100"/>
        <w:jc w:val="left"/>
        <w:rPr>
          <w:rFonts w:hint="eastAsia" w:ascii="仿宋" w:hAnsi="仿宋" w:eastAsia="仿宋"/>
          <w:color w:val="auto"/>
          <w:sz w:val="24"/>
          <w:szCs w:val="24"/>
          <w:lang w:val="en-US" w:eastAsia="zh-CN"/>
        </w:rPr>
      </w:pPr>
      <w:bookmarkStart w:id="0" w:name="_Toc17223"/>
      <w:bookmarkStart w:id="1" w:name="_Toc3957"/>
      <w:r>
        <w:rPr>
          <w:rFonts w:hint="eastAsia" w:ascii="仿宋" w:hAnsi="仿宋" w:eastAsia="仿宋"/>
          <w:color w:val="auto"/>
          <w:sz w:val="24"/>
          <w:szCs w:val="24"/>
          <w:lang w:val="en-US" w:eastAsia="zh-CN"/>
        </w:rPr>
        <w:t>2、技术指标</w:t>
      </w:r>
      <w:bookmarkEnd w:id="0"/>
      <w:bookmarkEnd w:id="1"/>
    </w:p>
    <w:tbl>
      <w:tblPr>
        <w:tblStyle w:val="4"/>
        <w:tblW w:w="94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1"/>
        <w:gridCol w:w="3423"/>
        <w:gridCol w:w="2963"/>
        <w:gridCol w:w="1491"/>
        <w:gridCol w:w="943"/>
      </w:tblGrid>
      <w:tr w14:paraId="6EE0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1" w:hRule="exact"/>
          <w:jc w:val="center"/>
        </w:trPr>
        <w:tc>
          <w:tcPr>
            <w:tcW w:w="4004" w:type="dxa"/>
            <w:gridSpan w:val="2"/>
            <w:vMerge w:val="restart"/>
            <w:tcBorders>
              <w:top w:val="single" w:color="000000" w:sz="6" w:space="0"/>
              <w:left w:val="single" w:color="000000" w:sz="6" w:space="0"/>
              <w:right w:val="single" w:color="000000" w:sz="6" w:space="0"/>
            </w:tcBorders>
            <w:noWrap w:val="0"/>
            <w:vAlign w:val="center"/>
          </w:tcPr>
          <w:p w14:paraId="7D040C63">
            <w:pPr>
              <w:pStyle w:val="10"/>
              <w:spacing w:line="360" w:lineRule="auto"/>
              <w:ind w:left="-199" w:leftChars="-95" w:firstLine="150" w:firstLineChars="83"/>
              <w:jc w:val="left"/>
              <w:rPr>
                <w:rFonts w:hint="eastAsia" w:ascii="宋体" w:hAnsi="宋体" w:eastAsia="宋体" w:cs="宋体"/>
                <w:b/>
                <w:bCs/>
                <w:color w:val="auto"/>
                <w:sz w:val="18"/>
                <w:szCs w:val="18"/>
                <w:u w:val="none"/>
                <w:lang w:val="en-US" w:eastAsia="zh-CN"/>
              </w:rPr>
            </w:pPr>
            <w:r>
              <w:rPr>
                <w:rFonts w:hint="eastAsia" w:ascii="宋体" w:hAnsi="宋体" w:eastAsia="宋体" w:cs="宋体"/>
                <w:b/>
                <w:bCs/>
                <w:color w:val="auto"/>
                <w:sz w:val="18"/>
                <w:szCs w:val="18"/>
                <w:u w:val="none"/>
                <w:lang w:val="en-US" w:eastAsia="zh-CN"/>
              </w:rPr>
              <w:t>项  目</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52471184">
            <w:pPr>
              <w:pStyle w:val="10"/>
              <w:spacing w:line="360" w:lineRule="auto"/>
              <w:jc w:val="center"/>
              <w:rPr>
                <w:rFonts w:hint="default" w:ascii="宋体" w:hAnsi="宋体" w:eastAsia="宋体" w:cs="宋体"/>
                <w:b/>
                <w:bCs/>
                <w:color w:val="auto"/>
                <w:sz w:val="18"/>
                <w:szCs w:val="18"/>
                <w:u w:val="none"/>
                <w:lang w:val="en-US" w:eastAsia="zh-CN"/>
              </w:rPr>
            </w:pPr>
            <w:r>
              <w:rPr>
                <w:rFonts w:hint="eastAsia" w:ascii="宋体" w:hAnsi="宋体" w:cs="宋体"/>
                <w:b/>
                <w:bCs/>
                <w:color w:val="auto"/>
                <w:sz w:val="18"/>
                <w:szCs w:val="18"/>
                <w:u w:val="none"/>
                <w:lang w:val="en-US" w:eastAsia="zh-CN"/>
              </w:rPr>
              <w:t>标准值</w:t>
            </w:r>
          </w:p>
        </w:tc>
        <w:tc>
          <w:tcPr>
            <w:tcW w:w="1491" w:type="dxa"/>
            <w:vMerge w:val="restart"/>
            <w:tcBorders>
              <w:top w:val="single" w:color="000000" w:sz="6" w:space="0"/>
              <w:left w:val="single" w:color="auto" w:sz="4" w:space="0"/>
              <w:right w:val="single" w:color="000000" w:sz="6" w:space="0"/>
            </w:tcBorders>
            <w:noWrap w:val="0"/>
            <w:vAlign w:val="center"/>
          </w:tcPr>
          <w:p w14:paraId="395D53DE">
            <w:pPr>
              <w:pStyle w:val="10"/>
              <w:spacing w:line="360" w:lineRule="auto"/>
              <w:jc w:val="left"/>
              <w:rPr>
                <w:rFonts w:hint="default" w:ascii="宋体" w:hAnsi="宋体" w:eastAsia="宋体" w:cs="宋体"/>
                <w:b/>
                <w:bCs/>
                <w:color w:val="auto"/>
                <w:sz w:val="18"/>
                <w:szCs w:val="18"/>
                <w:u w:val="none"/>
                <w:lang w:val="en-US" w:eastAsia="zh-CN"/>
              </w:rPr>
            </w:pPr>
            <w:r>
              <w:rPr>
                <w:rFonts w:hint="eastAsia" w:ascii="宋体" w:hAnsi="宋体" w:cs="宋体"/>
                <w:b/>
                <w:bCs/>
                <w:color w:val="auto"/>
                <w:sz w:val="18"/>
                <w:szCs w:val="18"/>
                <w:u w:val="none"/>
                <w:lang w:val="en-US" w:eastAsia="zh-CN"/>
              </w:rPr>
              <w:t>退货值</w:t>
            </w:r>
          </w:p>
        </w:tc>
        <w:tc>
          <w:tcPr>
            <w:tcW w:w="943" w:type="dxa"/>
            <w:vMerge w:val="restart"/>
            <w:tcBorders>
              <w:top w:val="single" w:color="000000" w:sz="6" w:space="0"/>
              <w:left w:val="single" w:color="auto" w:sz="4" w:space="0"/>
              <w:right w:val="single" w:color="000000" w:sz="6" w:space="0"/>
            </w:tcBorders>
            <w:noWrap w:val="0"/>
            <w:vAlign w:val="center"/>
          </w:tcPr>
          <w:p w14:paraId="1500CBF2">
            <w:pPr>
              <w:pStyle w:val="10"/>
              <w:spacing w:line="360" w:lineRule="auto"/>
              <w:jc w:val="left"/>
              <w:rPr>
                <w:rFonts w:hint="default" w:ascii="宋体" w:hAnsi="宋体" w:cs="宋体"/>
                <w:b/>
                <w:bCs/>
                <w:color w:val="auto"/>
                <w:sz w:val="18"/>
                <w:szCs w:val="18"/>
                <w:u w:val="none"/>
                <w:lang w:val="en-US" w:eastAsia="zh-CN"/>
              </w:rPr>
            </w:pPr>
            <w:r>
              <w:rPr>
                <w:rFonts w:hint="eastAsia" w:ascii="宋体" w:hAnsi="宋体" w:cs="宋体"/>
                <w:b/>
                <w:bCs/>
                <w:color w:val="auto"/>
                <w:sz w:val="18"/>
                <w:szCs w:val="18"/>
                <w:u w:val="none"/>
                <w:lang w:val="en-US" w:eastAsia="zh-CN"/>
              </w:rPr>
              <w:t>检测要求</w:t>
            </w:r>
          </w:p>
        </w:tc>
      </w:tr>
      <w:tr w14:paraId="3592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exact"/>
          <w:jc w:val="center"/>
        </w:trPr>
        <w:tc>
          <w:tcPr>
            <w:tcW w:w="4004" w:type="dxa"/>
            <w:gridSpan w:val="2"/>
            <w:vMerge w:val="continue"/>
            <w:tcBorders>
              <w:left w:val="single" w:color="000000" w:sz="6" w:space="0"/>
              <w:bottom w:val="single" w:color="000000" w:sz="6" w:space="0"/>
              <w:right w:val="single" w:color="000000" w:sz="6" w:space="0"/>
            </w:tcBorders>
            <w:noWrap w:val="0"/>
            <w:vAlign w:val="center"/>
          </w:tcPr>
          <w:p w14:paraId="5ECBE9DD">
            <w:pPr>
              <w:pStyle w:val="10"/>
              <w:spacing w:line="360" w:lineRule="auto"/>
              <w:ind w:left="-199" w:leftChars="-95" w:firstLine="149" w:firstLineChars="83"/>
              <w:jc w:val="left"/>
              <w:rPr>
                <w:rFonts w:hint="eastAsia" w:ascii="宋体" w:hAnsi="宋体" w:eastAsia="宋体" w:cs="宋体"/>
                <w:color w:val="auto"/>
                <w:sz w:val="18"/>
                <w:szCs w:val="18"/>
                <w:u w:val="none"/>
                <w:lang w:val="en-US" w:eastAsia="zh-CN"/>
              </w:rPr>
            </w:pP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0C806A98">
            <w:pPr>
              <w:pStyle w:val="10"/>
              <w:spacing w:line="360" w:lineRule="auto"/>
              <w:jc w:val="center"/>
              <w:rPr>
                <w:rFonts w:hint="eastAsia" w:ascii="宋体" w:hAnsi="宋体" w:eastAsia="宋体" w:cs="宋体"/>
                <w:b/>
                <w:bCs/>
                <w:color w:val="auto"/>
                <w:sz w:val="18"/>
                <w:szCs w:val="18"/>
                <w:u w:val="none"/>
                <w:lang w:val="en-US" w:eastAsia="zh-CN"/>
              </w:rPr>
            </w:pPr>
            <w:r>
              <w:rPr>
                <w:rFonts w:hint="eastAsia" w:ascii="宋体" w:hAnsi="宋体" w:eastAsia="宋体" w:cs="宋体"/>
                <w:b/>
                <w:bCs/>
                <w:color w:val="auto"/>
                <w:sz w:val="18"/>
                <w:szCs w:val="18"/>
                <w:u w:val="none"/>
                <w:lang w:val="en-US" w:eastAsia="zh-CN"/>
              </w:rPr>
              <w:t>一级</w:t>
            </w:r>
          </w:p>
        </w:tc>
        <w:tc>
          <w:tcPr>
            <w:tcW w:w="1491" w:type="dxa"/>
            <w:vMerge w:val="continue"/>
            <w:tcBorders>
              <w:left w:val="single" w:color="auto" w:sz="4" w:space="0"/>
              <w:bottom w:val="single" w:color="000000" w:sz="6" w:space="0"/>
              <w:right w:val="single" w:color="000000" w:sz="6" w:space="0"/>
            </w:tcBorders>
            <w:noWrap w:val="0"/>
            <w:vAlign w:val="center"/>
          </w:tcPr>
          <w:p w14:paraId="38AB5E0F">
            <w:pPr>
              <w:pStyle w:val="10"/>
              <w:spacing w:line="360" w:lineRule="auto"/>
              <w:jc w:val="left"/>
              <w:rPr>
                <w:rFonts w:hint="default" w:ascii="宋体" w:hAnsi="宋体" w:eastAsia="宋体" w:cs="宋体"/>
                <w:color w:val="auto"/>
                <w:sz w:val="18"/>
                <w:szCs w:val="18"/>
                <w:u w:val="none"/>
                <w:lang w:val="en-US" w:eastAsia="zh-CN"/>
              </w:rPr>
            </w:pPr>
          </w:p>
        </w:tc>
        <w:tc>
          <w:tcPr>
            <w:tcW w:w="943" w:type="dxa"/>
            <w:vMerge w:val="continue"/>
            <w:tcBorders>
              <w:left w:val="single" w:color="auto" w:sz="4" w:space="0"/>
              <w:bottom w:val="single" w:color="000000" w:sz="6" w:space="0"/>
              <w:right w:val="single" w:color="000000" w:sz="6" w:space="0"/>
            </w:tcBorders>
            <w:noWrap w:val="0"/>
            <w:vAlign w:val="center"/>
          </w:tcPr>
          <w:p w14:paraId="7C57F2C4">
            <w:pPr>
              <w:pStyle w:val="10"/>
              <w:spacing w:line="360" w:lineRule="auto"/>
              <w:jc w:val="left"/>
              <w:rPr>
                <w:rFonts w:hint="default" w:ascii="宋体" w:hAnsi="宋体" w:eastAsia="宋体" w:cs="宋体"/>
                <w:color w:val="auto"/>
                <w:sz w:val="18"/>
                <w:szCs w:val="18"/>
                <w:u w:val="none"/>
                <w:lang w:val="en-US" w:eastAsia="zh-CN"/>
              </w:rPr>
            </w:pPr>
          </w:p>
        </w:tc>
      </w:tr>
      <w:tr w14:paraId="1D58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restart"/>
            <w:tcBorders>
              <w:top w:val="single" w:color="000000" w:sz="6" w:space="0"/>
              <w:left w:val="single" w:color="000000" w:sz="6" w:space="0"/>
              <w:right w:val="single" w:color="000000" w:sz="6" w:space="0"/>
            </w:tcBorders>
            <w:noWrap w:val="0"/>
            <w:vAlign w:val="center"/>
          </w:tcPr>
          <w:p w14:paraId="40542BF7">
            <w:pPr>
              <w:pStyle w:val="10"/>
              <w:spacing w:line="240" w:lineRule="auto"/>
              <w:jc w:val="left"/>
              <w:rPr>
                <w:rFonts w:hint="eastAsia" w:ascii="宋体" w:hAnsi="宋体" w:eastAsia="宋体" w:cs="宋体"/>
                <w:color w:val="auto"/>
                <w:sz w:val="18"/>
                <w:szCs w:val="18"/>
                <w:u w:val="none"/>
                <w:lang w:val="en-US" w:eastAsia="zh-CN"/>
              </w:rPr>
            </w:pPr>
            <w:r>
              <w:rPr>
                <w:rFonts w:hint="eastAsia" w:ascii="宋体" w:hAnsi="宋体"/>
                <w:color w:val="auto"/>
                <w:sz w:val="18"/>
                <w:szCs w:val="18"/>
                <w:lang w:val="en-US" w:eastAsia="zh-CN"/>
              </w:rPr>
              <w:t>风险指标</w:t>
            </w:r>
          </w:p>
        </w:tc>
        <w:tc>
          <w:tcPr>
            <w:tcW w:w="3423" w:type="dxa"/>
            <w:tcBorders>
              <w:top w:val="single" w:color="000000" w:sz="6" w:space="0"/>
              <w:left w:val="single" w:color="000000" w:sz="6" w:space="0"/>
              <w:bottom w:val="single" w:color="000000" w:sz="6" w:space="0"/>
              <w:right w:val="single" w:color="000000" w:sz="6" w:space="0"/>
            </w:tcBorders>
            <w:noWrap w:val="0"/>
            <w:vAlign w:val="center"/>
          </w:tcPr>
          <w:p w14:paraId="3D9CD758">
            <w:pPr>
              <w:pStyle w:val="10"/>
              <w:spacing w:line="360" w:lineRule="auto"/>
              <w:jc w:val="left"/>
              <w:rPr>
                <w:rFonts w:hint="eastAsia" w:ascii="宋体" w:hAnsi="宋体" w:eastAsia="宋体" w:cs="宋体"/>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5AB96A43">
            <w:pPr>
              <w:pStyle w:val="10"/>
              <w:spacing w:line="360" w:lineRule="auto"/>
              <w:jc w:val="center"/>
              <w:rPr>
                <w:rFonts w:hint="eastAsia" w:ascii="宋体" w:hAnsi="宋体" w:eastAsia="宋体" w:cs="宋体"/>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491" w:type="dxa"/>
            <w:tcBorders>
              <w:top w:val="single" w:color="000000" w:sz="6" w:space="0"/>
              <w:left w:val="single" w:color="000000" w:sz="6" w:space="0"/>
              <w:bottom w:val="single" w:color="000000" w:sz="6" w:space="0"/>
              <w:right w:val="single" w:color="000000" w:sz="6" w:space="0"/>
            </w:tcBorders>
            <w:noWrap w:val="0"/>
            <w:vAlign w:val="center"/>
          </w:tcPr>
          <w:p w14:paraId="5BF5BCB4">
            <w:pPr>
              <w:pStyle w:val="10"/>
              <w:spacing w:line="360" w:lineRule="auto"/>
              <w:jc w:val="left"/>
              <w:rPr>
                <w:rFonts w:hint="default" w:ascii="宋体" w:hAnsi="宋体" w:eastAsia="宋体" w:cs="宋体"/>
                <w:color w:val="auto"/>
                <w:sz w:val="18"/>
                <w:szCs w:val="18"/>
                <w:u w:val="none"/>
                <w:lang w:val="en-US" w:eastAsia="zh-CN"/>
              </w:rPr>
            </w:pPr>
            <w:r>
              <w:rPr>
                <w:rFonts w:hint="eastAsia" w:ascii="宋体" w:hAnsi="宋体" w:cs="宋体"/>
                <w:color w:val="auto"/>
                <w:sz w:val="18"/>
                <w:szCs w:val="18"/>
                <w:u w:val="none"/>
                <w:lang w:val="en-US" w:eastAsia="zh-CN"/>
              </w:rPr>
              <w:t>＞2</w:t>
            </w:r>
          </w:p>
        </w:tc>
        <w:tc>
          <w:tcPr>
            <w:tcW w:w="943" w:type="dxa"/>
            <w:tcBorders>
              <w:top w:val="single" w:color="000000" w:sz="6" w:space="0"/>
              <w:left w:val="single" w:color="000000" w:sz="6" w:space="0"/>
              <w:bottom w:val="single" w:color="000000" w:sz="6" w:space="0"/>
              <w:right w:val="single" w:color="000000" w:sz="6" w:space="0"/>
            </w:tcBorders>
            <w:noWrap w:val="0"/>
            <w:vAlign w:val="center"/>
          </w:tcPr>
          <w:p w14:paraId="1743AD4C">
            <w:pPr>
              <w:pStyle w:val="10"/>
              <w:spacing w:line="360" w:lineRule="auto"/>
              <w:jc w:val="left"/>
              <w:rPr>
                <w:rFonts w:hint="eastAsia" w:ascii="宋体" w:hAnsi="宋体" w:cs="宋体"/>
                <w:color w:val="auto"/>
                <w:sz w:val="18"/>
                <w:szCs w:val="18"/>
                <w:u w:val="none"/>
                <w:lang w:val="en-US" w:eastAsia="zh-CN"/>
              </w:rPr>
            </w:pPr>
            <w:r>
              <w:rPr>
                <w:rFonts w:hint="eastAsia" w:ascii="宋体" w:hAnsi="宋体"/>
                <w:color w:val="auto"/>
                <w:sz w:val="18"/>
                <w:lang w:val="zh-CN"/>
              </w:rPr>
              <w:t>必检</w:t>
            </w:r>
          </w:p>
        </w:tc>
      </w:tr>
      <w:tr w14:paraId="793B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exact"/>
          <w:jc w:val="center"/>
        </w:trPr>
        <w:tc>
          <w:tcPr>
            <w:tcW w:w="581" w:type="dxa"/>
            <w:vMerge w:val="continue"/>
            <w:tcBorders>
              <w:left w:val="single" w:color="000000" w:sz="6" w:space="0"/>
              <w:right w:val="single" w:color="000000" w:sz="6" w:space="0"/>
            </w:tcBorders>
            <w:noWrap w:val="0"/>
            <w:vAlign w:val="center"/>
          </w:tcPr>
          <w:p w14:paraId="48841770">
            <w:pPr>
              <w:pStyle w:val="10"/>
              <w:spacing w:line="360" w:lineRule="auto"/>
              <w:jc w:val="left"/>
              <w:rPr>
                <w:rFonts w:hint="eastAsia" w:ascii="宋体" w:hAnsi="宋体" w:eastAsia="宋体" w:cs="宋体"/>
                <w:color w:val="auto"/>
                <w:sz w:val="18"/>
                <w:szCs w:val="18"/>
                <w:u w:val="none"/>
                <w:lang w:val="en-US" w:eastAsia="zh-CN"/>
              </w:rPr>
            </w:pPr>
          </w:p>
        </w:tc>
        <w:tc>
          <w:tcPr>
            <w:tcW w:w="3423" w:type="dxa"/>
            <w:tcBorders>
              <w:top w:val="single" w:color="000000" w:sz="6" w:space="0"/>
              <w:left w:val="single" w:color="000000" w:sz="6" w:space="0"/>
              <w:bottom w:val="single" w:color="000000" w:sz="6" w:space="0"/>
              <w:right w:val="single" w:color="000000" w:sz="6" w:space="0"/>
            </w:tcBorders>
            <w:noWrap w:val="0"/>
            <w:vAlign w:val="center"/>
          </w:tcPr>
          <w:p w14:paraId="2B3013FC">
            <w:pPr>
              <w:pStyle w:val="10"/>
              <w:spacing w:line="360" w:lineRule="auto"/>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548219D1">
            <w:pPr>
              <w:pStyle w:val="10"/>
              <w:spacing w:line="360" w:lineRule="auto"/>
              <w:jc w:val="center"/>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491" w:type="dxa"/>
            <w:tcBorders>
              <w:top w:val="single" w:color="000000" w:sz="6" w:space="0"/>
              <w:left w:val="single" w:color="000000" w:sz="6" w:space="0"/>
              <w:bottom w:val="single" w:color="000000" w:sz="6" w:space="0"/>
              <w:right w:val="single" w:color="000000" w:sz="6" w:space="0"/>
            </w:tcBorders>
            <w:noWrap w:val="0"/>
            <w:vAlign w:val="center"/>
          </w:tcPr>
          <w:p w14:paraId="7885B1EE">
            <w:pPr>
              <w:pStyle w:val="10"/>
              <w:spacing w:line="360" w:lineRule="auto"/>
              <w:jc w:val="left"/>
              <w:rPr>
                <w:rFonts w:hint="eastAsia" w:ascii="宋体" w:hAnsi="宋体" w:eastAsia="宋体" w:cs="宋体"/>
                <w:color w:val="auto"/>
                <w:kern w:val="2"/>
                <w:sz w:val="18"/>
                <w:szCs w:val="18"/>
                <w:u w:val="none"/>
                <w:lang w:val="en-US" w:eastAsia="zh-CN"/>
              </w:rPr>
            </w:pPr>
            <w:r>
              <w:rPr>
                <w:rFonts w:hint="eastAsia" w:ascii="宋体" w:hAnsi="宋体" w:cs="宋体"/>
                <w:color w:val="auto"/>
                <w:sz w:val="18"/>
                <w:szCs w:val="18"/>
                <w:u w:val="none"/>
                <w:lang w:val="en-US" w:eastAsia="zh-CN"/>
              </w:rPr>
              <w:t>＞5</w:t>
            </w:r>
          </w:p>
        </w:tc>
        <w:tc>
          <w:tcPr>
            <w:tcW w:w="943" w:type="dxa"/>
            <w:tcBorders>
              <w:top w:val="single" w:color="000000" w:sz="6" w:space="0"/>
              <w:left w:val="single" w:color="000000" w:sz="6" w:space="0"/>
              <w:bottom w:val="single" w:color="000000" w:sz="6" w:space="0"/>
              <w:right w:val="single" w:color="000000" w:sz="6" w:space="0"/>
            </w:tcBorders>
            <w:noWrap w:val="0"/>
            <w:vAlign w:val="center"/>
          </w:tcPr>
          <w:p w14:paraId="50D70B1B">
            <w:pPr>
              <w:pStyle w:val="10"/>
              <w:spacing w:line="360" w:lineRule="auto"/>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D6B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continue"/>
            <w:tcBorders>
              <w:left w:val="single" w:color="000000" w:sz="6" w:space="0"/>
              <w:bottom w:val="single" w:color="000000" w:sz="6" w:space="0"/>
              <w:right w:val="single" w:color="000000" w:sz="6" w:space="0"/>
            </w:tcBorders>
            <w:noWrap w:val="0"/>
            <w:vAlign w:val="center"/>
          </w:tcPr>
          <w:p w14:paraId="33E1DD26">
            <w:pPr>
              <w:pStyle w:val="10"/>
              <w:spacing w:line="360" w:lineRule="auto"/>
              <w:jc w:val="left"/>
              <w:rPr>
                <w:rFonts w:hint="eastAsia" w:ascii="宋体" w:hAnsi="宋体" w:eastAsia="宋体" w:cs="宋体"/>
                <w:color w:val="auto"/>
                <w:sz w:val="18"/>
                <w:szCs w:val="18"/>
                <w:u w:val="none"/>
                <w:lang w:val="en-US" w:eastAsia="zh-CN"/>
              </w:rPr>
            </w:pPr>
          </w:p>
        </w:tc>
        <w:tc>
          <w:tcPr>
            <w:tcW w:w="3423" w:type="dxa"/>
            <w:tcBorders>
              <w:top w:val="single" w:color="000000" w:sz="6" w:space="0"/>
              <w:left w:val="single" w:color="000000" w:sz="6" w:space="0"/>
              <w:bottom w:val="single" w:color="000000" w:sz="6" w:space="0"/>
              <w:right w:val="single" w:color="000000" w:sz="6" w:space="0"/>
            </w:tcBorders>
            <w:noWrap w:val="0"/>
            <w:vAlign w:val="center"/>
          </w:tcPr>
          <w:p w14:paraId="28ADB170">
            <w:pPr>
              <w:pStyle w:val="10"/>
              <w:spacing w:line="360" w:lineRule="auto"/>
              <w:jc w:val="left"/>
              <w:rPr>
                <w:rFonts w:hint="eastAsia" w:ascii="宋体" w:hAnsi="宋体" w:eastAsia="宋体" w:cs="宋体"/>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7686B1F4">
            <w:pPr>
              <w:keepNext w:val="0"/>
              <w:keepLines w:val="0"/>
              <w:widowControl/>
              <w:suppressLineNumbers w:val="0"/>
              <w:spacing w:line="360" w:lineRule="auto"/>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491" w:type="dxa"/>
            <w:tcBorders>
              <w:top w:val="single" w:color="000000" w:sz="6" w:space="0"/>
              <w:left w:val="single" w:color="000000" w:sz="6" w:space="0"/>
              <w:bottom w:val="single" w:color="000000" w:sz="6" w:space="0"/>
              <w:right w:val="single" w:color="000000" w:sz="6" w:space="0"/>
            </w:tcBorders>
            <w:noWrap w:val="0"/>
            <w:vAlign w:val="center"/>
          </w:tcPr>
          <w:p w14:paraId="151B3FDD">
            <w:pPr>
              <w:pStyle w:val="10"/>
              <w:spacing w:line="360" w:lineRule="auto"/>
              <w:jc w:val="left"/>
              <w:rPr>
                <w:rFonts w:hint="eastAsia"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＞5</w:t>
            </w:r>
          </w:p>
        </w:tc>
        <w:tc>
          <w:tcPr>
            <w:tcW w:w="943" w:type="dxa"/>
            <w:tcBorders>
              <w:top w:val="single" w:color="000000" w:sz="6" w:space="0"/>
              <w:left w:val="single" w:color="000000" w:sz="6" w:space="0"/>
              <w:bottom w:val="single" w:color="000000" w:sz="6" w:space="0"/>
              <w:right w:val="single" w:color="000000" w:sz="6" w:space="0"/>
            </w:tcBorders>
            <w:noWrap w:val="0"/>
            <w:vAlign w:val="center"/>
          </w:tcPr>
          <w:p w14:paraId="00D9FD5F">
            <w:pPr>
              <w:pStyle w:val="10"/>
              <w:spacing w:line="360" w:lineRule="auto"/>
              <w:jc w:val="left"/>
              <w:rPr>
                <w:rFonts w:hint="default" w:ascii="宋体" w:hAnsi="宋体" w:eastAsia="宋体" w:cs="宋体"/>
                <w:color w:val="auto"/>
                <w:sz w:val="18"/>
                <w:szCs w:val="18"/>
                <w:u w:val="none"/>
                <w:lang w:val="en-US" w:eastAsia="zh-CN"/>
              </w:rPr>
            </w:pPr>
            <w:r>
              <w:rPr>
                <w:rFonts w:hint="eastAsia" w:ascii="宋体" w:hAnsi="宋体"/>
                <w:color w:val="auto"/>
                <w:sz w:val="18"/>
                <w:lang w:val="en-US" w:eastAsia="zh-CN"/>
              </w:rPr>
              <w:t>抽检</w:t>
            </w:r>
          </w:p>
        </w:tc>
      </w:tr>
      <w:tr w14:paraId="3A732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restart"/>
            <w:tcBorders>
              <w:top w:val="single" w:color="000000" w:sz="6" w:space="0"/>
              <w:left w:val="single" w:color="000000" w:sz="6" w:space="0"/>
              <w:right w:val="single" w:color="000000" w:sz="6" w:space="0"/>
            </w:tcBorders>
            <w:noWrap w:val="0"/>
            <w:vAlign w:val="center"/>
          </w:tcPr>
          <w:p w14:paraId="426A6F19">
            <w:pPr>
              <w:pStyle w:val="10"/>
              <w:spacing w:line="360" w:lineRule="auto"/>
              <w:jc w:val="left"/>
              <w:rPr>
                <w:rFonts w:hint="default" w:ascii="宋体" w:hAnsi="宋体" w:eastAsia="宋体" w:cs="宋体"/>
                <w:color w:val="auto"/>
                <w:sz w:val="18"/>
                <w:szCs w:val="18"/>
                <w:u w:val="none"/>
                <w:lang w:val="en-US" w:eastAsia="zh-CN"/>
              </w:rPr>
            </w:pPr>
            <w:r>
              <w:rPr>
                <w:rFonts w:hint="eastAsia" w:ascii="宋体" w:hAnsi="宋体" w:cs="宋体"/>
                <w:color w:val="auto"/>
                <w:sz w:val="18"/>
                <w:szCs w:val="18"/>
                <w:u w:val="none"/>
                <w:lang w:val="en-US" w:eastAsia="zh-CN"/>
              </w:rPr>
              <w:t>理化指标</w:t>
            </w:r>
          </w:p>
        </w:tc>
        <w:tc>
          <w:tcPr>
            <w:tcW w:w="3423" w:type="dxa"/>
            <w:tcBorders>
              <w:top w:val="single" w:color="000000" w:sz="6" w:space="0"/>
              <w:left w:val="single" w:color="000000" w:sz="6" w:space="0"/>
              <w:bottom w:val="single" w:color="000000" w:sz="6" w:space="0"/>
              <w:right w:val="single" w:color="000000" w:sz="6" w:space="0"/>
            </w:tcBorders>
            <w:noWrap w:val="0"/>
            <w:vAlign w:val="center"/>
          </w:tcPr>
          <w:p w14:paraId="58A73405">
            <w:pPr>
              <w:pStyle w:val="10"/>
              <w:spacing w:line="360" w:lineRule="auto"/>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水分</w:t>
            </w:r>
            <w:r>
              <w:rPr>
                <w:rFonts w:hint="eastAsia" w:ascii="宋体" w:hAnsi="宋体" w:eastAsia="宋体" w:cs="宋体"/>
                <w:i w:val="0"/>
                <w:color w:val="auto"/>
                <w:kern w:val="0"/>
                <w:sz w:val="18"/>
                <w:szCs w:val="18"/>
                <w:highlight w:val="none"/>
                <w:u w:val="none"/>
                <w:lang w:val="en-US" w:eastAsia="zh-CN" w:bidi="ar"/>
              </w:rPr>
              <w:t xml:space="preserve">（%）                     </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7722C7C7">
            <w:pPr>
              <w:pStyle w:val="10"/>
              <w:spacing w:line="360" w:lineRule="auto"/>
              <w:jc w:val="center"/>
              <w:rPr>
                <w:rFonts w:hint="default" w:ascii="宋体" w:hAnsi="宋体" w:eastAsia="宋体" w:cs="宋体"/>
                <w:color w:val="auto"/>
                <w:kern w:val="2"/>
                <w:sz w:val="18"/>
                <w:szCs w:val="18"/>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eastAsia="宋体" w:cs="宋体"/>
                <w:color w:val="auto"/>
                <w:sz w:val="18"/>
                <w:szCs w:val="18"/>
                <w:lang w:val="en-US" w:eastAsia="zh-CN"/>
              </w:rPr>
              <w:t>12</w:t>
            </w:r>
            <w:r>
              <w:rPr>
                <w:rFonts w:hint="eastAsia" w:ascii="宋体" w:hAnsi="宋体" w:cs="宋体"/>
                <w:color w:val="auto"/>
                <w:sz w:val="18"/>
                <w:szCs w:val="18"/>
                <w:lang w:val="en-US" w:eastAsia="zh-CN"/>
              </w:rPr>
              <w:t>.0</w:t>
            </w:r>
          </w:p>
        </w:tc>
        <w:tc>
          <w:tcPr>
            <w:tcW w:w="1491" w:type="dxa"/>
            <w:tcBorders>
              <w:top w:val="single" w:color="000000" w:sz="6" w:space="0"/>
              <w:left w:val="single" w:color="000000" w:sz="6" w:space="0"/>
              <w:bottom w:val="single" w:color="000000" w:sz="6" w:space="0"/>
              <w:right w:val="single" w:color="000000" w:sz="6" w:space="0"/>
            </w:tcBorders>
            <w:noWrap w:val="0"/>
            <w:vAlign w:val="center"/>
          </w:tcPr>
          <w:p w14:paraId="27821DAA">
            <w:pPr>
              <w:pStyle w:val="10"/>
              <w:spacing w:line="360" w:lineRule="auto"/>
              <w:jc w:val="left"/>
              <w:rPr>
                <w:rFonts w:hint="default" w:ascii="宋体" w:hAnsi="宋体" w:eastAsia="宋体" w:cs="宋体"/>
                <w:color w:val="auto"/>
                <w:kern w:val="2"/>
                <w:sz w:val="18"/>
                <w:szCs w:val="18"/>
                <w:u w:val="none"/>
                <w:lang w:val="en-US" w:eastAsia="zh-CN"/>
              </w:rPr>
            </w:pPr>
            <w:r>
              <w:rPr>
                <w:rFonts w:hint="eastAsia" w:ascii="宋体" w:hAnsi="宋体" w:cs="宋体"/>
                <w:color w:val="auto"/>
                <w:sz w:val="18"/>
                <w:szCs w:val="18"/>
                <w:u w:val="none"/>
                <w:lang w:val="en-US" w:eastAsia="zh-CN"/>
              </w:rPr>
              <w:t>＞13.0</w:t>
            </w:r>
          </w:p>
        </w:tc>
        <w:tc>
          <w:tcPr>
            <w:tcW w:w="943" w:type="dxa"/>
            <w:tcBorders>
              <w:top w:val="single" w:color="000000" w:sz="6" w:space="0"/>
              <w:left w:val="single" w:color="000000" w:sz="6" w:space="0"/>
              <w:bottom w:val="single" w:color="000000" w:sz="6" w:space="0"/>
              <w:right w:val="single" w:color="000000" w:sz="6" w:space="0"/>
            </w:tcBorders>
            <w:noWrap w:val="0"/>
            <w:vAlign w:val="center"/>
          </w:tcPr>
          <w:p w14:paraId="30CBC398">
            <w:pPr>
              <w:pStyle w:val="10"/>
              <w:spacing w:line="360" w:lineRule="auto"/>
              <w:jc w:val="left"/>
              <w:rPr>
                <w:rFonts w:hint="default"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必检</w:t>
            </w:r>
          </w:p>
        </w:tc>
      </w:tr>
      <w:tr w14:paraId="7BB5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continue"/>
            <w:tcBorders>
              <w:left w:val="single" w:color="000000" w:sz="6" w:space="0"/>
              <w:right w:val="single" w:color="000000" w:sz="6" w:space="0"/>
            </w:tcBorders>
            <w:noWrap w:val="0"/>
            <w:vAlign w:val="center"/>
          </w:tcPr>
          <w:p w14:paraId="1BB75621">
            <w:pPr>
              <w:pStyle w:val="10"/>
              <w:spacing w:line="360" w:lineRule="auto"/>
              <w:jc w:val="left"/>
              <w:rPr>
                <w:rFonts w:hint="eastAsia" w:ascii="宋体" w:hAnsi="宋体" w:eastAsia="宋体" w:cs="宋体"/>
                <w:color w:val="auto"/>
                <w:sz w:val="18"/>
                <w:szCs w:val="18"/>
                <w:u w:val="none"/>
                <w:lang w:val="en-US" w:eastAsia="zh-CN"/>
              </w:rPr>
            </w:pPr>
          </w:p>
        </w:tc>
        <w:tc>
          <w:tcPr>
            <w:tcW w:w="3423" w:type="dxa"/>
            <w:tcBorders>
              <w:top w:val="single" w:color="000000" w:sz="6" w:space="0"/>
              <w:left w:val="single" w:color="000000" w:sz="6" w:space="0"/>
              <w:bottom w:val="single" w:color="000000" w:sz="6" w:space="0"/>
              <w:right w:val="single" w:color="000000" w:sz="6" w:space="0"/>
            </w:tcBorders>
            <w:noWrap w:val="0"/>
            <w:vAlign w:val="center"/>
          </w:tcPr>
          <w:p w14:paraId="677B75CF">
            <w:pPr>
              <w:pStyle w:val="10"/>
              <w:spacing w:line="360" w:lineRule="auto"/>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粗蛋白</w:t>
            </w:r>
            <w:r>
              <w:rPr>
                <w:rFonts w:hint="eastAsia" w:ascii="宋体" w:hAnsi="宋体" w:eastAsia="宋体" w:cs="宋体"/>
                <w:i w:val="0"/>
                <w:color w:val="auto"/>
                <w:kern w:val="0"/>
                <w:sz w:val="18"/>
                <w:szCs w:val="18"/>
                <w:highlight w:val="none"/>
                <w:u w:val="none"/>
                <w:lang w:val="en-US" w:eastAsia="zh-CN" w:bidi="ar"/>
              </w:rPr>
              <w:t>（%）</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5369A4F5">
            <w:pPr>
              <w:pStyle w:val="10"/>
              <w:spacing w:line="360" w:lineRule="auto"/>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≥4</w:t>
            </w:r>
            <w:r>
              <w:rPr>
                <w:rFonts w:hint="eastAsia" w:ascii="宋体" w:hAnsi="宋体" w:cs="宋体"/>
                <w:color w:val="auto"/>
                <w:sz w:val="18"/>
                <w:szCs w:val="18"/>
                <w:lang w:val="en-US" w:eastAsia="zh-CN"/>
              </w:rPr>
              <w:t>6.0</w:t>
            </w:r>
          </w:p>
          <w:p w14:paraId="17EF3B75">
            <w:pPr>
              <w:pStyle w:val="10"/>
              <w:spacing w:line="360" w:lineRule="auto"/>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≥42</w:t>
            </w:r>
            <w:r>
              <w:rPr>
                <w:rFonts w:hint="eastAsia" w:ascii="宋体" w:hAnsi="宋体" w:cs="宋体"/>
                <w:color w:val="auto"/>
                <w:sz w:val="18"/>
                <w:szCs w:val="18"/>
                <w:lang w:val="en-US" w:eastAsia="zh-CN"/>
              </w:rPr>
              <w:t>.0</w:t>
            </w:r>
          </w:p>
        </w:tc>
        <w:tc>
          <w:tcPr>
            <w:tcW w:w="1491" w:type="dxa"/>
            <w:tcBorders>
              <w:top w:val="single" w:color="000000" w:sz="6" w:space="0"/>
              <w:left w:val="single" w:color="000000" w:sz="6" w:space="0"/>
              <w:bottom w:val="single" w:color="000000" w:sz="6" w:space="0"/>
              <w:right w:val="single" w:color="000000" w:sz="6" w:space="0"/>
            </w:tcBorders>
            <w:noWrap w:val="0"/>
            <w:vAlign w:val="center"/>
          </w:tcPr>
          <w:p w14:paraId="3245353A">
            <w:pPr>
              <w:pStyle w:val="10"/>
              <w:tabs>
                <w:tab w:val="left" w:pos="345"/>
                <w:tab w:val="center" w:pos="599"/>
              </w:tabs>
              <w:spacing w:line="360" w:lineRule="auto"/>
              <w:jc w:val="left"/>
              <w:rPr>
                <w:rFonts w:hint="default" w:ascii="宋体" w:hAnsi="宋体" w:eastAsia="宋体" w:cs="宋体"/>
                <w:color w:val="auto"/>
                <w:sz w:val="18"/>
                <w:szCs w:val="18"/>
                <w:u w:val="none"/>
                <w:lang w:val="en-US" w:eastAsia="zh-CN"/>
              </w:rPr>
            </w:pPr>
            <w:r>
              <w:rPr>
                <w:rFonts w:hint="eastAsia" w:ascii="宋体" w:hAnsi="宋体" w:cs="宋体"/>
                <w:color w:val="auto"/>
                <w:sz w:val="18"/>
                <w:szCs w:val="18"/>
                <w:lang w:val="en-US" w:eastAsia="zh-CN"/>
              </w:rPr>
              <w:tab/>
            </w:r>
            <w:r>
              <w:rPr>
                <w:rFonts w:hint="eastAsia" w:ascii="宋体" w:hAnsi="宋体" w:cs="宋体"/>
                <w:color w:val="auto"/>
                <w:sz w:val="18"/>
                <w:szCs w:val="18"/>
                <w:lang w:val="en-US" w:eastAsia="zh-CN"/>
              </w:rPr>
              <w:t>≤</w:t>
            </w:r>
            <w:r>
              <w:rPr>
                <w:rFonts w:hint="eastAsia" w:ascii="宋体" w:hAnsi="宋体" w:cs="宋体"/>
                <w:color w:val="auto"/>
                <w:sz w:val="18"/>
                <w:szCs w:val="18"/>
                <w:lang w:val="en-US" w:eastAsia="zh-CN"/>
              </w:rPr>
              <w:tab/>
            </w:r>
            <w:r>
              <w:rPr>
                <w:rFonts w:hint="eastAsia" w:ascii="宋体" w:hAnsi="宋体" w:cs="宋体"/>
                <w:color w:val="auto"/>
                <w:sz w:val="18"/>
                <w:szCs w:val="18"/>
                <w:lang w:val="en-US" w:eastAsia="zh-CN"/>
              </w:rPr>
              <w:t>44.7</w:t>
            </w:r>
          </w:p>
        </w:tc>
        <w:tc>
          <w:tcPr>
            <w:tcW w:w="943" w:type="dxa"/>
            <w:tcBorders>
              <w:top w:val="single" w:color="000000" w:sz="6" w:space="0"/>
              <w:left w:val="single" w:color="000000" w:sz="6" w:space="0"/>
              <w:bottom w:val="single" w:color="000000" w:sz="6" w:space="0"/>
              <w:right w:val="single" w:color="000000" w:sz="6" w:space="0"/>
            </w:tcBorders>
            <w:noWrap w:val="0"/>
            <w:vAlign w:val="center"/>
          </w:tcPr>
          <w:p w14:paraId="4A421E57">
            <w:pPr>
              <w:pStyle w:val="10"/>
              <w:spacing w:line="360" w:lineRule="auto"/>
              <w:jc w:val="left"/>
              <w:rPr>
                <w:rFonts w:hint="eastAsia"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必检</w:t>
            </w:r>
          </w:p>
        </w:tc>
      </w:tr>
      <w:tr w14:paraId="1EBE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continue"/>
            <w:tcBorders>
              <w:left w:val="single" w:color="000000" w:sz="6" w:space="0"/>
              <w:right w:val="single" w:color="000000" w:sz="6" w:space="0"/>
            </w:tcBorders>
            <w:noWrap w:val="0"/>
            <w:vAlign w:val="center"/>
          </w:tcPr>
          <w:p w14:paraId="2C44BA78">
            <w:pPr>
              <w:pStyle w:val="10"/>
              <w:spacing w:line="360" w:lineRule="auto"/>
              <w:jc w:val="left"/>
              <w:rPr>
                <w:rFonts w:hint="eastAsia" w:ascii="宋体" w:hAnsi="宋体" w:eastAsia="宋体" w:cs="宋体"/>
                <w:color w:val="auto"/>
                <w:sz w:val="18"/>
                <w:szCs w:val="18"/>
                <w:u w:val="none"/>
                <w:lang w:val="en-US" w:eastAsia="zh-CN"/>
              </w:rPr>
            </w:pPr>
          </w:p>
        </w:tc>
        <w:tc>
          <w:tcPr>
            <w:tcW w:w="3423" w:type="dxa"/>
            <w:tcBorders>
              <w:top w:val="single" w:color="000000" w:sz="6" w:space="0"/>
              <w:left w:val="single" w:color="000000" w:sz="6" w:space="0"/>
              <w:bottom w:val="single" w:color="000000" w:sz="6" w:space="0"/>
              <w:right w:val="single" w:color="000000" w:sz="6" w:space="0"/>
            </w:tcBorders>
            <w:noWrap w:val="0"/>
            <w:vAlign w:val="center"/>
          </w:tcPr>
          <w:p w14:paraId="6FCB8A6D">
            <w:pPr>
              <w:pStyle w:val="10"/>
              <w:spacing w:line="360" w:lineRule="auto"/>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粗灰分</w:t>
            </w:r>
            <w:r>
              <w:rPr>
                <w:rFonts w:hint="eastAsia" w:ascii="宋体" w:hAnsi="宋体" w:eastAsia="宋体" w:cs="宋体"/>
                <w:i w:val="0"/>
                <w:color w:val="auto"/>
                <w:kern w:val="0"/>
                <w:sz w:val="18"/>
                <w:szCs w:val="18"/>
                <w:highlight w:val="none"/>
                <w:u w:val="none"/>
                <w:lang w:val="en-US" w:eastAsia="zh-CN" w:bidi="ar"/>
              </w:rPr>
              <w:t xml:space="preserve">（%）                    </w:t>
            </w:r>
          </w:p>
        </w:tc>
        <w:tc>
          <w:tcPr>
            <w:tcW w:w="2963" w:type="dxa"/>
            <w:tcBorders>
              <w:top w:val="single" w:color="000000" w:sz="6" w:space="0"/>
              <w:left w:val="single" w:color="000000" w:sz="6" w:space="0"/>
              <w:bottom w:val="single" w:color="000000" w:sz="6" w:space="0"/>
              <w:right w:val="single" w:color="000000" w:sz="6" w:space="0"/>
            </w:tcBorders>
            <w:noWrap w:val="0"/>
            <w:vAlign w:val="center"/>
          </w:tcPr>
          <w:p w14:paraId="49344DBD">
            <w:pPr>
              <w:pStyle w:val="10"/>
              <w:spacing w:line="36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color w:val="auto"/>
                <w:sz w:val="18"/>
                <w:szCs w:val="18"/>
                <w:lang w:val="en-US" w:eastAsia="zh-CN"/>
              </w:rPr>
              <w:t>8</w:t>
            </w:r>
            <w:r>
              <w:rPr>
                <w:rFonts w:hint="eastAsia" w:ascii="宋体" w:hAnsi="宋体" w:eastAsia="宋体" w:cs="宋体"/>
                <w:color w:val="auto"/>
                <w:sz w:val="18"/>
                <w:szCs w:val="18"/>
                <w:lang w:val="en-US" w:eastAsia="zh-CN"/>
              </w:rPr>
              <w:t>.0</w:t>
            </w:r>
          </w:p>
        </w:tc>
        <w:tc>
          <w:tcPr>
            <w:tcW w:w="1491" w:type="dxa"/>
            <w:tcBorders>
              <w:top w:val="single" w:color="000000" w:sz="6" w:space="0"/>
              <w:left w:val="single" w:color="auto" w:sz="4" w:space="0"/>
              <w:bottom w:val="single" w:color="000000" w:sz="6" w:space="0"/>
              <w:right w:val="single" w:color="000000" w:sz="6" w:space="0"/>
            </w:tcBorders>
            <w:noWrap w:val="0"/>
            <w:vAlign w:val="center"/>
          </w:tcPr>
          <w:p w14:paraId="7143FB93">
            <w:pPr>
              <w:pStyle w:val="10"/>
              <w:spacing w:line="360" w:lineRule="auto"/>
              <w:jc w:val="left"/>
              <w:rPr>
                <w:rFonts w:hint="default" w:ascii="宋体" w:hAnsi="宋体" w:eastAsia="宋体" w:cs="宋体"/>
                <w:color w:val="auto"/>
                <w:kern w:val="2"/>
                <w:sz w:val="18"/>
                <w:szCs w:val="18"/>
                <w:lang w:val="en-US" w:eastAsia="zh-CN"/>
              </w:rPr>
            </w:pPr>
            <w:r>
              <w:rPr>
                <w:rFonts w:hint="eastAsia" w:ascii="宋体" w:hAnsi="宋体" w:eastAsia="宋体" w:cs="宋体"/>
                <w:color w:val="auto"/>
                <w:sz w:val="18"/>
                <w:szCs w:val="18"/>
                <w:lang w:val="zh-CN" w:eastAsia="zh-CN"/>
              </w:rPr>
              <w:t>＞</w:t>
            </w:r>
            <w:r>
              <w:rPr>
                <w:rFonts w:hint="eastAsia" w:ascii="宋体" w:hAnsi="宋体" w:cs="宋体"/>
                <w:color w:val="auto"/>
                <w:sz w:val="18"/>
                <w:szCs w:val="18"/>
                <w:lang w:val="en-US" w:eastAsia="zh-CN"/>
              </w:rPr>
              <w:t>9.0</w:t>
            </w:r>
          </w:p>
        </w:tc>
        <w:tc>
          <w:tcPr>
            <w:tcW w:w="943" w:type="dxa"/>
            <w:tcBorders>
              <w:top w:val="single" w:color="000000" w:sz="6" w:space="0"/>
              <w:left w:val="single" w:color="auto" w:sz="4" w:space="0"/>
              <w:bottom w:val="single" w:color="000000" w:sz="6" w:space="0"/>
              <w:right w:val="single" w:color="000000" w:sz="6" w:space="0"/>
            </w:tcBorders>
            <w:noWrap w:val="0"/>
            <w:vAlign w:val="center"/>
          </w:tcPr>
          <w:p w14:paraId="14129551">
            <w:pPr>
              <w:pStyle w:val="10"/>
              <w:spacing w:line="360" w:lineRule="auto"/>
              <w:jc w:val="left"/>
              <w:rPr>
                <w:rFonts w:hint="eastAsia"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必检</w:t>
            </w:r>
          </w:p>
        </w:tc>
      </w:tr>
      <w:tr w14:paraId="2BD2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continue"/>
            <w:tcBorders>
              <w:left w:val="single" w:color="000000" w:sz="6" w:space="0"/>
              <w:right w:val="single" w:color="000000" w:sz="6" w:space="0"/>
            </w:tcBorders>
            <w:noWrap w:val="0"/>
            <w:vAlign w:val="center"/>
          </w:tcPr>
          <w:p w14:paraId="72726ABF">
            <w:pPr>
              <w:pStyle w:val="10"/>
              <w:spacing w:line="360" w:lineRule="auto"/>
              <w:jc w:val="left"/>
              <w:rPr>
                <w:rFonts w:hint="eastAsia" w:ascii="宋体" w:hAnsi="宋体" w:eastAsia="宋体" w:cs="宋体"/>
                <w:color w:val="auto"/>
                <w:sz w:val="18"/>
                <w:szCs w:val="18"/>
                <w:u w:val="none"/>
                <w:lang w:val="en-US" w:eastAsia="zh-CN"/>
              </w:rPr>
            </w:pPr>
          </w:p>
        </w:tc>
        <w:tc>
          <w:tcPr>
            <w:tcW w:w="3423" w:type="dxa"/>
            <w:noWrap w:val="0"/>
            <w:vAlign w:val="center"/>
          </w:tcPr>
          <w:p w14:paraId="6DBD3840">
            <w:pPr>
              <w:pStyle w:val="10"/>
              <w:spacing w:line="360" w:lineRule="auto"/>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棉絮</w:t>
            </w:r>
            <w:r>
              <w:rPr>
                <w:rFonts w:hint="eastAsia" w:ascii="宋体" w:hAnsi="宋体" w:eastAsia="宋体" w:cs="宋体"/>
                <w:i w:val="0"/>
                <w:color w:val="auto"/>
                <w:kern w:val="0"/>
                <w:sz w:val="18"/>
                <w:szCs w:val="18"/>
                <w:highlight w:val="none"/>
                <w:u w:val="none"/>
                <w:lang w:val="en-US" w:eastAsia="zh-CN" w:bidi="ar"/>
              </w:rPr>
              <w:t xml:space="preserve">（%）                      </w:t>
            </w:r>
          </w:p>
        </w:tc>
        <w:tc>
          <w:tcPr>
            <w:tcW w:w="2963" w:type="dxa"/>
            <w:noWrap w:val="0"/>
            <w:vAlign w:val="center"/>
          </w:tcPr>
          <w:p w14:paraId="0AB40F45">
            <w:pPr>
              <w:pStyle w:val="10"/>
              <w:spacing w:line="360" w:lineRule="auto"/>
              <w:jc w:val="center"/>
              <w:rPr>
                <w:rFonts w:hint="eastAsia" w:ascii="宋体" w:hAnsi="宋体" w:eastAsia="宋体" w:cs="宋体"/>
                <w:color w:val="auto"/>
                <w:kern w:val="2"/>
                <w:sz w:val="18"/>
                <w:szCs w:val="18"/>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eastAsia="宋体" w:cs="宋体"/>
                <w:color w:val="auto"/>
                <w:sz w:val="18"/>
                <w:szCs w:val="18"/>
                <w:lang w:val="en-US" w:eastAsia="zh-CN"/>
              </w:rPr>
              <w:t>6.0</w:t>
            </w:r>
          </w:p>
        </w:tc>
        <w:tc>
          <w:tcPr>
            <w:tcW w:w="1491" w:type="dxa"/>
            <w:tcBorders>
              <w:left w:val="single" w:color="auto" w:sz="4" w:space="0"/>
            </w:tcBorders>
            <w:noWrap w:val="0"/>
            <w:vAlign w:val="center"/>
          </w:tcPr>
          <w:p w14:paraId="638C8A79">
            <w:pPr>
              <w:pStyle w:val="10"/>
              <w:spacing w:line="360" w:lineRule="auto"/>
              <w:jc w:val="left"/>
              <w:rPr>
                <w:rFonts w:hint="default" w:ascii="宋体" w:hAnsi="宋体" w:eastAsia="宋体" w:cs="宋体"/>
                <w:color w:val="auto"/>
                <w:kern w:val="2"/>
                <w:sz w:val="18"/>
                <w:szCs w:val="18"/>
                <w:u w:val="none"/>
                <w:lang w:val="en-US" w:eastAsia="zh-CN"/>
              </w:rPr>
            </w:pPr>
            <w:r>
              <w:rPr>
                <w:rFonts w:hint="eastAsia" w:ascii="宋体" w:hAnsi="宋体"/>
                <w:color w:val="auto"/>
                <w:sz w:val="18"/>
                <w:u w:val="none"/>
                <w:lang w:val="zh-CN"/>
              </w:rPr>
              <w:t>＞</w:t>
            </w:r>
            <w:r>
              <w:rPr>
                <w:rFonts w:hint="eastAsia" w:ascii="宋体" w:hAnsi="宋体"/>
                <w:color w:val="auto"/>
                <w:sz w:val="18"/>
                <w:u w:val="none"/>
                <w:lang w:val="en-US" w:eastAsia="zh-CN"/>
              </w:rPr>
              <w:t>6.0</w:t>
            </w:r>
          </w:p>
        </w:tc>
        <w:tc>
          <w:tcPr>
            <w:tcW w:w="943" w:type="dxa"/>
            <w:tcBorders>
              <w:left w:val="single" w:color="auto" w:sz="4" w:space="0"/>
            </w:tcBorders>
            <w:noWrap w:val="0"/>
            <w:vAlign w:val="center"/>
          </w:tcPr>
          <w:p w14:paraId="16E96F1A">
            <w:pPr>
              <w:pStyle w:val="10"/>
              <w:spacing w:line="360" w:lineRule="auto"/>
              <w:jc w:val="left"/>
              <w:rPr>
                <w:rFonts w:hint="eastAsia"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抽检</w:t>
            </w:r>
          </w:p>
        </w:tc>
      </w:tr>
      <w:tr w14:paraId="4F3C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continue"/>
            <w:tcBorders>
              <w:left w:val="single" w:color="000000" w:sz="6" w:space="0"/>
              <w:right w:val="single" w:color="000000" w:sz="6" w:space="0"/>
            </w:tcBorders>
            <w:noWrap w:val="0"/>
            <w:vAlign w:val="center"/>
          </w:tcPr>
          <w:p w14:paraId="1CFD5864">
            <w:pPr>
              <w:pStyle w:val="10"/>
              <w:spacing w:line="360" w:lineRule="auto"/>
              <w:jc w:val="left"/>
              <w:rPr>
                <w:rFonts w:hint="eastAsia" w:ascii="宋体" w:hAnsi="宋体" w:eastAsia="宋体" w:cs="宋体"/>
                <w:color w:val="auto"/>
                <w:sz w:val="18"/>
                <w:szCs w:val="18"/>
                <w:u w:val="none"/>
                <w:lang w:val="en-US" w:eastAsia="zh-CN"/>
              </w:rPr>
            </w:pPr>
          </w:p>
        </w:tc>
        <w:tc>
          <w:tcPr>
            <w:tcW w:w="3423" w:type="dxa"/>
            <w:noWrap w:val="0"/>
            <w:vAlign w:val="center"/>
          </w:tcPr>
          <w:p w14:paraId="4CE46FDB">
            <w:pPr>
              <w:keepNext w:val="0"/>
              <w:keepLines w:val="0"/>
              <w:widowControl/>
              <w:suppressLineNumbers w:val="0"/>
              <w:spacing w:line="360" w:lineRule="auto"/>
              <w:jc w:val="left"/>
              <w:textAlignment w:val="center"/>
              <w:rPr>
                <w:rFonts w:hint="eastAsia" w:ascii="宋体" w:hAnsi="宋体" w:eastAsia="宋体" w:cs="宋体"/>
                <w:color w:val="auto"/>
                <w:kern w:val="2"/>
                <w:sz w:val="18"/>
                <w:szCs w:val="18"/>
                <w:lang w:val="en-US" w:eastAsia="zh-CN"/>
              </w:rPr>
            </w:pPr>
            <w:r>
              <w:rPr>
                <w:rFonts w:hint="eastAsia" w:ascii="宋体" w:hAnsi="宋体" w:eastAsia="宋体" w:cs="宋体"/>
                <w:i w:val="0"/>
                <w:color w:val="auto"/>
                <w:kern w:val="0"/>
                <w:sz w:val="18"/>
                <w:szCs w:val="18"/>
                <w:highlight w:val="none"/>
                <w:u w:val="none"/>
                <w:lang w:val="en-US" w:eastAsia="zh-CN" w:bidi="ar"/>
              </w:rPr>
              <w:t xml:space="preserve">粗纤维（%）                    </w:t>
            </w:r>
          </w:p>
        </w:tc>
        <w:tc>
          <w:tcPr>
            <w:tcW w:w="2963" w:type="dxa"/>
            <w:noWrap w:val="0"/>
            <w:vAlign w:val="center"/>
          </w:tcPr>
          <w:p w14:paraId="09A2DCCC">
            <w:pPr>
              <w:pStyle w:val="10"/>
              <w:spacing w:line="360" w:lineRule="auto"/>
              <w:jc w:val="center"/>
              <w:rPr>
                <w:rFonts w:hint="default" w:ascii="宋体" w:hAnsi="宋体" w:eastAsia="宋体" w:cs="宋体"/>
                <w:color w:val="auto"/>
                <w:kern w:val="2"/>
                <w:sz w:val="18"/>
                <w:szCs w:val="18"/>
                <w:lang w:val="en-US" w:eastAsia="zh-CN"/>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2.0</w:t>
            </w:r>
          </w:p>
        </w:tc>
        <w:tc>
          <w:tcPr>
            <w:tcW w:w="1491" w:type="dxa"/>
            <w:tcBorders>
              <w:left w:val="single" w:color="auto" w:sz="4" w:space="0"/>
            </w:tcBorders>
            <w:noWrap w:val="0"/>
            <w:vAlign w:val="center"/>
          </w:tcPr>
          <w:p w14:paraId="7E63CCAB">
            <w:pPr>
              <w:pStyle w:val="10"/>
              <w:spacing w:line="360" w:lineRule="auto"/>
              <w:jc w:val="left"/>
              <w:rPr>
                <w:rFonts w:hint="default" w:ascii="宋体" w:hAnsi="宋体"/>
                <w:color w:val="auto"/>
                <w:sz w:val="18"/>
                <w:u w:val="none"/>
                <w:lang w:val="en-US"/>
              </w:rPr>
            </w:pPr>
            <w:r>
              <w:rPr>
                <w:rFonts w:hint="eastAsia" w:ascii="宋体" w:hAnsi="宋体" w:cs="宋体"/>
                <w:color w:val="auto"/>
                <w:sz w:val="18"/>
                <w:szCs w:val="18"/>
                <w:lang w:val="en-US" w:eastAsia="zh-CN"/>
              </w:rPr>
              <w:t>＞14.0</w:t>
            </w:r>
          </w:p>
        </w:tc>
        <w:tc>
          <w:tcPr>
            <w:tcW w:w="943" w:type="dxa"/>
            <w:tcBorders>
              <w:left w:val="single" w:color="auto" w:sz="4" w:space="0"/>
            </w:tcBorders>
            <w:noWrap w:val="0"/>
            <w:vAlign w:val="center"/>
          </w:tcPr>
          <w:p w14:paraId="719076A7">
            <w:pPr>
              <w:pStyle w:val="10"/>
              <w:spacing w:line="360" w:lineRule="auto"/>
              <w:jc w:val="left"/>
              <w:rPr>
                <w:rFonts w:hint="eastAsia"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抽检</w:t>
            </w:r>
          </w:p>
        </w:tc>
      </w:tr>
      <w:tr w14:paraId="79584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581" w:type="dxa"/>
            <w:vMerge w:val="restart"/>
            <w:tcBorders>
              <w:left w:val="single" w:color="000000" w:sz="6" w:space="0"/>
              <w:right w:val="single" w:color="000000" w:sz="6" w:space="0"/>
            </w:tcBorders>
            <w:noWrap w:val="0"/>
            <w:vAlign w:val="center"/>
          </w:tcPr>
          <w:p w14:paraId="03F5BE19">
            <w:pPr>
              <w:pStyle w:val="10"/>
              <w:spacing w:line="360" w:lineRule="auto"/>
              <w:jc w:val="left"/>
              <w:rPr>
                <w:rFonts w:hint="default" w:ascii="宋体" w:hAnsi="宋体" w:eastAsia="宋体" w:cs="宋体"/>
                <w:color w:val="auto"/>
                <w:sz w:val="18"/>
                <w:szCs w:val="18"/>
                <w:highlight w:val="none"/>
                <w:u w:val="none"/>
                <w:lang w:val="en-US" w:eastAsia="zh-CN"/>
              </w:rPr>
            </w:pPr>
            <w:r>
              <w:rPr>
                <w:rFonts w:hint="eastAsia" w:ascii="宋体" w:hAnsi="宋体" w:cs="宋体"/>
                <w:color w:val="auto"/>
                <w:sz w:val="18"/>
                <w:szCs w:val="18"/>
                <w:highlight w:val="none"/>
                <w:u w:val="none"/>
                <w:lang w:val="en-US" w:eastAsia="zh-CN"/>
              </w:rPr>
              <w:t>卫生指标</w:t>
            </w:r>
          </w:p>
        </w:tc>
        <w:tc>
          <w:tcPr>
            <w:tcW w:w="3423" w:type="dxa"/>
            <w:noWrap w:val="0"/>
            <w:vAlign w:val="center"/>
          </w:tcPr>
          <w:p w14:paraId="5BC30113">
            <w:pPr>
              <w:keepNext w:val="0"/>
              <w:keepLines w:val="0"/>
              <w:widowControl/>
              <w:suppressLineNumbers w:val="0"/>
              <w:spacing w:line="360" w:lineRule="auto"/>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游离棉酚（mg/kg)</w:t>
            </w:r>
          </w:p>
        </w:tc>
        <w:tc>
          <w:tcPr>
            <w:tcW w:w="2963" w:type="dxa"/>
            <w:noWrap w:val="0"/>
            <w:vAlign w:val="center"/>
          </w:tcPr>
          <w:p w14:paraId="123A5A25">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≤1200</w:t>
            </w:r>
          </w:p>
        </w:tc>
        <w:tc>
          <w:tcPr>
            <w:tcW w:w="1491" w:type="dxa"/>
            <w:tcBorders>
              <w:left w:val="single" w:color="auto" w:sz="4" w:space="0"/>
            </w:tcBorders>
            <w:noWrap w:val="0"/>
            <w:vAlign w:val="center"/>
          </w:tcPr>
          <w:p w14:paraId="3C3FBC60">
            <w:pPr>
              <w:pStyle w:val="10"/>
              <w:spacing w:line="360" w:lineRule="auto"/>
              <w:jc w:val="left"/>
              <w:rPr>
                <w:rFonts w:hint="default" w:ascii="宋体" w:hAnsi="宋体"/>
                <w:color w:val="auto"/>
                <w:sz w:val="18"/>
                <w:u w:val="none"/>
                <w:lang w:val="en-US"/>
              </w:rPr>
            </w:pPr>
            <w:r>
              <w:rPr>
                <w:rFonts w:hint="eastAsia" w:ascii="宋体" w:hAnsi="宋体" w:eastAsia="宋体" w:cs="宋体"/>
                <w:color w:val="auto"/>
                <w:sz w:val="18"/>
                <w:szCs w:val="18"/>
                <w:lang w:val="zh-CN" w:eastAsia="zh-CN"/>
              </w:rPr>
              <w:t>＞</w:t>
            </w:r>
            <w:r>
              <w:rPr>
                <w:rFonts w:hint="eastAsia" w:ascii="宋体" w:hAnsi="宋体" w:cs="宋体"/>
                <w:color w:val="auto"/>
                <w:sz w:val="18"/>
                <w:szCs w:val="18"/>
                <w:lang w:val="en-US" w:eastAsia="zh-CN"/>
              </w:rPr>
              <w:t>1310</w:t>
            </w:r>
          </w:p>
        </w:tc>
        <w:tc>
          <w:tcPr>
            <w:tcW w:w="943" w:type="dxa"/>
            <w:tcBorders>
              <w:left w:val="single" w:color="auto" w:sz="4" w:space="0"/>
            </w:tcBorders>
            <w:noWrap w:val="0"/>
            <w:vAlign w:val="center"/>
          </w:tcPr>
          <w:p w14:paraId="0C82B260">
            <w:pPr>
              <w:pStyle w:val="10"/>
              <w:spacing w:line="360" w:lineRule="auto"/>
              <w:jc w:val="left"/>
              <w:rPr>
                <w:rFonts w:hint="eastAsia" w:ascii="宋体" w:hAnsi="宋体" w:cs="宋体"/>
                <w:color w:val="auto"/>
                <w:sz w:val="18"/>
                <w:szCs w:val="18"/>
                <w:u w:val="none"/>
                <w:lang w:val="en-US" w:eastAsia="zh-CN"/>
              </w:rPr>
            </w:pPr>
            <w:r>
              <w:rPr>
                <w:rFonts w:hint="eastAsia" w:ascii="宋体" w:hAnsi="宋体" w:cs="宋体"/>
                <w:color w:val="auto"/>
                <w:sz w:val="18"/>
                <w:szCs w:val="18"/>
                <w:u w:val="none"/>
                <w:lang w:val="en-US" w:eastAsia="zh-CN"/>
              </w:rPr>
              <w:t>抽检</w:t>
            </w:r>
          </w:p>
        </w:tc>
      </w:tr>
      <w:tr w14:paraId="3754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4" w:hRule="exact"/>
          <w:jc w:val="center"/>
        </w:trPr>
        <w:tc>
          <w:tcPr>
            <w:tcW w:w="581" w:type="dxa"/>
            <w:vMerge w:val="continue"/>
            <w:tcBorders>
              <w:left w:val="single" w:color="000000" w:sz="6" w:space="0"/>
              <w:right w:val="single" w:color="000000" w:sz="6" w:space="0"/>
            </w:tcBorders>
            <w:noWrap w:val="0"/>
            <w:vAlign w:val="center"/>
          </w:tcPr>
          <w:p w14:paraId="6FB37353">
            <w:pPr>
              <w:pStyle w:val="10"/>
              <w:spacing w:line="360" w:lineRule="auto"/>
              <w:jc w:val="left"/>
              <w:rPr>
                <w:rFonts w:hint="default" w:ascii="宋体" w:hAnsi="宋体" w:eastAsia="宋体" w:cs="宋体"/>
                <w:color w:val="auto"/>
                <w:sz w:val="18"/>
                <w:szCs w:val="18"/>
                <w:highlight w:val="none"/>
                <w:u w:val="none"/>
                <w:lang w:val="en-US" w:eastAsia="zh-CN"/>
              </w:rPr>
            </w:pPr>
          </w:p>
        </w:tc>
        <w:tc>
          <w:tcPr>
            <w:tcW w:w="8820" w:type="dxa"/>
            <w:gridSpan w:val="4"/>
            <w:noWrap w:val="0"/>
            <w:vAlign w:val="center"/>
          </w:tcPr>
          <w:p w14:paraId="3149F04C">
            <w:pPr>
              <w:pStyle w:val="10"/>
              <w:spacing w:line="360" w:lineRule="auto"/>
              <w:jc w:val="left"/>
              <w:rPr>
                <w:rFonts w:hint="eastAsia" w:ascii="宋体" w:hAnsi="宋体" w:cs="宋体"/>
                <w:color w:val="auto"/>
                <w:sz w:val="18"/>
                <w:szCs w:val="18"/>
                <w:u w:val="none"/>
                <w:lang w:val="en-US" w:eastAsia="zh-CN"/>
              </w:rPr>
            </w:pPr>
            <w:r>
              <w:rPr>
                <w:rFonts w:hint="eastAsia" w:ascii="宋体" w:hAnsi="宋体"/>
                <w:color w:val="auto"/>
                <w:sz w:val="18"/>
                <w:szCs w:val="18"/>
                <w:lang w:val="en-US" w:eastAsia="zh-CN"/>
              </w:rPr>
              <w:t>其他卫生指标执行</w:t>
            </w:r>
            <w:r>
              <w:rPr>
                <w:rFonts w:hint="eastAsia" w:ascii="宋体" w:hAnsi="宋体"/>
                <w:color w:val="auto"/>
                <w:sz w:val="18"/>
                <w:szCs w:val="18"/>
                <w:lang w:val="zh-CN"/>
              </w:rPr>
              <w:t>GB13078-2017规定标准</w:t>
            </w:r>
          </w:p>
        </w:tc>
      </w:tr>
      <w:tr w14:paraId="5190A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7" w:hRule="exact"/>
          <w:jc w:val="center"/>
        </w:trPr>
        <w:tc>
          <w:tcPr>
            <w:tcW w:w="9401" w:type="dxa"/>
            <w:gridSpan w:val="5"/>
            <w:noWrap w:val="0"/>
            <w:vAlign w:val="center"/>
          </w:tcPr>
          <w:p w14:paraId="7B94AD5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u w:val="none"/>
              </w:rPr>
              <w:t>备注：</w:t>
            </w:r>
            <w:r>
              <w:rPr>
                <w:rFonts w:hint="eastAsia" w:ascii="宋体" w:hAnsi="宋体" w:eastAsia="宋体" w:cs="宋体"/>
                <w:i w:val="0"/>
                <w:color w:val="auto"/>
                <w:kern w:val="0"/>
                <w:sz w:val="18"/>
                <w:szCs w:val="18"/>
                <w:u w:val="none"/>
                <w:lang w:val="en-US" w:eastAsia="zh-CN" w:bidi="ar"/>
              </w:rPr>
              <w:t>1、呕吐毒素预警值为1mg/kg；</w:t>
            </w:r>
          </w:p>
          <w:p w14:paraId="78163E57">
            <w:pPr>
              <w:keepNext w:val="0"/>
              <w:keepLines w:val="0"/>
              <w:widowControl/>
              <w:numPr>
                <w:ilvl w:val="0"/>
                <w:numId w:val="0"/>
              </w:numPr>
              <w:suppressLineNumbers w:val="0"/>
              <w:spacing w:line="360" w:lineRule="auto"/>
              <w:ind w:firstLine="540" w:firstLineChars="3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2、游离棉酚预警值为1000mg/kg;</w:t>
            </w:r>
          </w:p>
          <w:p w14:paraId="14FE1111">
            <w:pPr>
              <w:keepNext w:val="0"/>
              <w:keepLines w:val="0"/>
              <w:widowControl/>
              <w:suppressLineNumbers w:val="0"/>
              <w:spacing w:line="360" w:lineRule="auto"/>
              <w:ind w:firstLine="540" w:firstLineChars="30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、表中所列限量，除特别注明外均以干物质含量88%为基础计算（霉菌总数、细菌总数、沙门氏菌除外）</w:t>
            </w:r>
            <w:r>
              <w:rPr>
                <w:rFonts w:hint="eastAsia" w:ascii="宋体" w:hAnsi="宋体" w:cs="宋体"/>
                <w:i w:val="0"/>
                <w:color w:val="auto"/>
                <w:kern w:val="0"/>
                <w:sz w:val="18"/>
                <w:szCs w:val="18"/>
                <w:u w:val="none"/>
                <w:lang w:val="en-US" w:eastAsia="zh-CN" w:bidi="ar"/>
              </w:rPr>
              <w:t>；</w:t>
            </w:r>
          </w:p>
          <w:p w14:paraId="04894804">
            <w:pPr>
              <w:keepNext w:val="0"/>
              <w:keepLines w:val="0"/>
              <w:widowControl/>
              <w:suppressLineNumbers w:val="0"/>
              <w:spacing w:line="360" w:lineRule="auto"/>
              <w:ind w:firstLine="540" w:firstLineChars="300"/>
              <w:jc w:val="lef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棉絮的收集方法为取不少于 200g 棉粕样经粉碎后，过 12 目的标准筛，即可分离出棉絮</w:t>
            </w:r>
            <w:r>
              <w:rPr>
                <w:rFonts w:hint="eastAsia" w:ascii="宋体" w:hAnsi="宋体" w:cs="宋体"/>
                <w:i w:val="0"/>
                <w:color w:val="auto"/>
                <w:kern w:val="0"/>
                <w:sz w:val="18"/>
                <w:szCs w:val="18"/>
                <w:highlight w:val="none"/>
                <w:u w:val="none"/>
                <w:lang w:val="en-US" w:eastAsia="zh-CN" w:bidi="ar"/>
              </w:rPr>
              <w:t>；</w:t>
            </w:r>
          </w:p>
          <w:p w14:paraId="559EC9E7">
            <w:pPr>
              <w:keepNext w:val="0"/>
              <w:keepLines w:val="0"/>
              <w:widowControl/>
              <w:suppressLineNumbers w:val="0"/>
              <w:spacing w:line="360" w:lineRule="auto"/>
              <w:ind w:firstLine="540" w:firstLineChars="300"/>
              <w:jc w:val="left"/>
              <w:textAlignment w:val="center"/>
              <w:rPr>
                <w:rFonts w:hint="eastAsia" w:ascii="宋体" w:hAnsi="宋体" w:cs="宋体"/>
                <w:color w:val="auto"/>
                <w:sz w:val="18"/>
                <w:szCs w:val="18"/>
                <w:lang w:val="en-US" w:eastAsia="zh-CN"/>
              </w:rPr>
            </w:pPr>
            <w:r>
              <w:rPr>
                <w:rFonts w:hint="eastAsia" w:ascii="宋体" w:hAnsi="宋体" w:cs="宋体"/>
                <w:i w:val="0"/>
                <w:color w:val="auto"/>
                <w:kern w:val="0"/>
                <w:sz w:val="18"/>
                <w:szCs w:val="18"/>
                <w:u w:val="none"/>
                <w:lang w:val="en-US" w:eastAsia="zh-CN" w:bidi="ar"/>
              </w:rPr>
              <w:t>5</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18"/>
                <w:szCs w:val="18"/>
                <w:u w:val="none"/>
                <w:lang w:val="en-US" w:eastAsia="zh-CN" w:bidi="ar"/>
              </w:rPr>
              <w:t>风险指标</w:t>
            </w:r>
            <w:r>
              <w:rPr>
                <w:rFonts w:hint="eastAsia" w:ascii="宋体" w:hAnsi="宋体" w:cs="宋体"/>
                <w:i w:val="0"/>
                <w:color w:val="auto"/>
                <w:kern w:val="0"/>
                <w:sz w:val="18"/>
                <w:szCs w:val="18"/>
                <w:u w:val="none"/>
                <w:lang w:val="en-US" w:eastAsia="zh-CN" w:bidi="ar"/>
              </w:rPr>
              <w:t>和卫生指标不合格，拒收处置。</w:t>
            </w:r>
          </w:p>
          <w:p w14:paraId="734D460F">
            <w:pPr>
              <w:pStyle w:val="11"/>
              <w:spacing w:line="360" w:lineRule="auto"/>
              <w:ind w:firstLine="540" w:firstLineChars="300"/>
              <w:jc w:val="left"/>
              <w:rPr>
                <w:rFonts w:hint="eastAsia" w:ascii="宋体" w:hAnsi="宋体" w:eastAsia="宋体" w:cs="宋体"/>
                <w:color w:val="auto"/>
                <w:sz w:val="18"/>
                <w:szCs w:val="18"/>
                <w:highlight w:val="none"/>
                <w:u w:val="none"/>
                <w:lang w:val="en-US" w:eastAsia="zh-CN"/>
              </w:rPr>
            </w:pPr>
            <w:r>
              <w:rPr>
                <w:rFonts w:hint="eastAsia" w:ascii="宋体" w:hAnsi="宋体" w:cs="宋体"/>
                <w:i w:val="0"/>
                <w:color w:val="auto"/>
                <w:kern w:val="0"/>
                <w:sz w:val="18"/>
                <w:szCs w:val="18"/>
                <w:u w:val="none"/>
                <w:lang w:val="en-US" w:eastAsia="zh-CN" w:bidi="ar"/>
              </w:rPr>
              <w:t>4、</w:t>
            </w:r>
            <w:r>
              <w:rPr>
                <w:rFonts w:hint="eastAsia" w:hAnsi="宋体" w:cs="宋体"/>
                <w:i w:val="0"/>
                <w:color w:val="auto"/>
                <w:kern w:val="0"/>
                <w:sz w:val="18"/>
                <w:szCs w:val="18"/>
                <w:u w:val="none"/>
                <w:lang w:val="en-US" w:eastAsia="zh-CN" w:bidi="ar"/>
              </w:rPr>
              <w:t>风险指标和</w:t>
            </w:r>
            <w:r>
              <w:rPr>
                <w:rFonts w:hint="eastAsia" w:ascii="宋体" w:hAnsi="宋体" w:cs="宋体"/>
                <w:i w:val="0"/>
                <w:color w:val="auto"/>
                <w:kern w:val="0"/>
                <w:sz w:val="18"/>
                <w:szCs w:val="18"/>
                <w:u w:val="none"/>
                <w:lang w:val="en-US" w:eastAsia="zh-CN" w:bidi="ar"/>
              </w:rPr>
              <w:t>卫生指标不合格，拒收处置。</w:t>
            </w:r>
          </w:p>
        </w:tc>
      </w:tr>
    </w:tbl>
    <w:p w14:paraId="7E5B1B2A">
      <w:pPr>
        <w:pStyle w:val="11"/>
        <w:keepNext w:val="0"/>
        <w:keepLines w:val="0"/>
        <w:pageBreakBefore w:val="0"/>
        <w:kinsoku/>
        <w:overflowPunct/>
        <w:topLinePunct w:val="0"/>
        <w:bidi w:val="0"/>
        <w:spacing w:line="24" w:lineRule="atLeast"/>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3、标签标识</w:t>
      </w:r>
    </w:p>
    <w:p w14:paraId="56ED702E">
      <w:pPr>
        <w:pStyle w:val="11"/>
        <w:keepNext w:val="0"/>
        <w:keepLines w:val="0"/>
        <w:pageBreakBefore w:val="0"/>
        <w:kinsoku/>
        <w:overflowPunct/>
        <w:topLinePunct w:val="0"/>
        <w:bidi w:val="0"/>
        <w:spacing w:line="24" w:lineRule="atLeas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标签标识符合GB 10648-2013中相关要求。</w:t>
      </w:r>
    </w:p>
    <w:p w14:paraId="27A48D8B">
      <w:pPr>
        <w:pStyle w:val="11"/>
        <w:keepNext w:val="0"/>
        <w:keepLines w:val="0"/>
        <w:pageBreakBefore w:val="0"/>
        <w:kinsoku/>
        <w:overflowPunct/>
        <w:topLinePunct w:val="0"/>
        <w:bidi w:val="0"/>
        <w:spacing w:line="24" w:lineRule="atLeast"/>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4、包装、运输和储存</w:t>
      </w:r>
    </w:p>
    <w:p w14:paraId="193AA39E">
      <w:pPr>
        <w:wordWrap w:val="0"/>
        <w:adjustRightInd w:val="0"/>
        <w:snapToGrid w:val="0"/>
        <w:spacing w:line="580" w:lineRule="exact"/>
        <w:rPr>
          <w:rFonts w:hint="eastAsia" w:ascii="黑体" w:hAnsi="黑体" w:eastAsia="黑体" w:cs="黑体"/>
          <w:bCs/>
          <w:sz w:val="32"/>
          <w:szCs w:val="32"/>
        </w:rPr>
      </w:pPr>
      <w:r>
        <w:rPr>
          <w:rFonts w:hint="eastAsia" w:ascii="仿宋" w:hAnsi="仿宋" w:eastAsia="仿宋" w:cs="仿宋"/>
          <w:color w:val="auto"/>
          <w:kern w:val="2"/>
          <w:sz w:val="24"/>
          <w:szCs w:val="24"/>
          <w:lang w:val="en-US" w:eastAsia="zh-CN" w:bidi="ar-SA"/>
        </w:rPr>
        <w:t>包装、运输和储存符合GB/T 21264-2007中的要求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bookmarkStart w:id="2" w:name="_GoBack"/>
      <w:bookmarkEnd w:id="2"/>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9832A07"/>
    <w:rsid w:val="0D3F4AE8"/>
    <w:rsid w:val="0DD3100C"/>
    <w:rsid w:val="1114309D"/>
    <w:rsid w:val="11710BAD"/>
    <w:rsid w:val="11FF779B"/>
    <w:rsid w:val="12EA42C0"/>
    <w:rsid w:val="175214DB"/>
    <w:rsid w:val="1A9D5221"/>
    <w:rsid w:val="1CC45546"/>
    <w:rsid w:val="1D7F2AB0"/>
    <w:rsid w:val="1DCC22E0"/>
    <w:rsid w:val="1F135B57"/>
    <w:rsid w:val="20C560FB"/>
    <w:rsid w:val="22887589"/>
    <w:rsid w:val="24A019E5"/>
    <w:rsid w:val="2A441B0B"/>
    <w:rsid w:val="2D897BF4"/>
    <w:rsid w:val="2F8F6694"/>
    <w:rsid w:val="3434782F"/>
    <w:rsid w:val="385C0B47"/>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qFormat/>
    <w:uiPriority w:val="0"/>
    <w:pPr>
      <w:jc w:val="center"/>
    </w:pPr>
    <w:rPr>
      <w:rFonts w:cs="Times New Roman"/>
      <w:szCs w:val="22"/>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2097</Words>
  <Characters>2334</Characters>
  <TotalTime>0</TotalTime>
  <ScaleCrop>false</ScaleCrop>
  <LinksUpToDate>false</LinksUpToDate>
  <CharactersWithSpaces>3350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2025-11-14T07:38:13Z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