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4200吨菜粕菜粕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SKY-CG-CP-20251120</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37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5"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4200吨菜粕菜粕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4200吨菜粕菜粕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2"/>
        <w:rPr>
          <w:rFonts w:hint="default"/>
          <w:b/>
          <w:bCs/>
          <w:sz w:val="36"/>
          <w:szCs w:val="36"/>
          <w:lang w:val="en-US" w:eastAsia="zh-CN"/>
        </w:rPr>
      </w:pPr>
      <w:r>
        <w:rPr>
          <w:rFonts w:hint="eastAsia"/>
          <w:b/>
          <w:bCs/>
          <w:sz w:val="36"/>
          <w:szCs w:val="36"/>
          <w:lang w:val="en-US" w:eastAsia="zh-CN"/>
        </w:rPr>
        <w:t>菜粕</w:t>
      </w:r>
    </w:p>
    <w:p w14:paraId="3CD30C3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2"/>
              <w:ind w:firstLine="440" w:firstLineChars="200"/>
              <w:rPr>
                <w:rFonts w:hint="eastAsia" w:ascii="仿宋" w:hAnsi="仿宋" w:eastAsia="仿宋" w:cs="仿宋"/>
                <w:b w:val="0"/>
                <w:bCs w:val="0"/>
                <w:sz w:val="22"/>
                <w:szCs w:val="16"/>
                <w:lang w:val="en-US" w:eastAsia="zh-CN"/>
              </w:rPr>
            </w:pPr>
          </w:p>
          <w:p w14:paraId="0022012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2"/>
              <w:ind w:firstLine="440" w:firstLineChars="200"/>
              <w:rPr>
                <w:rFonts w:hint="eastAsia" w:ascii="仿宋" w:hAnsi="仿宋" w:eastAsia="仿宋" w:cs="仿宋"/>
                <w:b w:val="0"/>
                <w:bCs w:val="0"/>
                <w:sz w:val="22"/>
                <w:szCs w:val="16"/>
                <w:lang w:val="en-US" w:eastAsia="zh-CN"/>
              </w:rPr>
            </w:pPr>
          </w:p>
          <w:p w14:paraId="5EF3CBC7">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2"/>
              <w:ind w:firstLine="440" w:firstLineChars="200"/>
              <w:rPr>
                <w:rFonts w:hint="eastAsia" w:ascii="仿宋" w:hAnsi="仿宋" w:eastAsia="仿宋" w:cs="仿宋"/>
                <w:b w:val="0"/>
                <w:bCs w:val="0"/>
                <w:sz w:val="22"/>
                <w:szCs w:val="16"/>
                <w:lang w:val="en-US" w:eastAsia="zh-CN"/>
              </w:rPr>
            </w:pPr>
          </w:p>
          <w:p w14:paraId="15BACB6F">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2"/>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2"/>
              <w:jc w:val="both"/>
              <w:rPr>
                <w:rFonts w:hint="eastAsia" w:ascii="仿宋" w:hAnsi="仿宋" w:eastAsia="仿宋" w:cs="仿宋"/>
                <w:b w:val="0"/>
                <w:bCs w:val="0"/>
                <w:sz w:val="22"/>
                <w:szCs w:val="16"/>
                <w:lang w:val="en-US" w:eastAsia="zh-CN"/>
              </w:rPr>
            </w:pPr>
          </w:p>
          <w:p w14:paraId="6A3804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CB8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甘肃圣康源生物科技有限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4007546"/>
    <w:rsid w:val="171F4B58"/>
    <w:rsid w:val="175214DB"/>
    <w:rsid w:val="1A9D5221"/>
    <w:rsid w:val="1CC45546"/>
    <w:rsid w:val="1D7F2AB0"/>
    <w:rsid w:val="1DCC22E0"/>
    <w:rsid w:val="1F135B57"/>
    <w:rsid w:val="20C560FB"/>
    <w:rsid w:val="22887589"/>
    <w:rsid w:val="24A019E5"/>
    <w:rsid w:val="2A441B0B"/>
    <w:rsid w:val="2D897BF4"/>
    <w:rsid w:val="3434782F"/>
    <w:rsid w:val="385C0B47"/>
    <w:rsid w:val="3C961CAF"/>
    <w:rsid w:val="3E746B53"/>
    <w:rsid w:val="40081B38"/>
    <w:rsid w:val="40C655EA"/>
    <w:rsid w:val="43881600"/>
    <w:rsid w:val="4445400D"/>
    <w:rsid w:val="458C28C6"/>
    <w:rsid w:val="47C44E19"/>
    <w:rsid w:val="47D91028"/>
    <w:rsid w:val="4A9420B8"/>
    <w:rsid w:val="4AFB028B"/>
    <w:rsid w:val="4DB11303"/>
    <w:rsid w:val="4E864704"/>
    <w:rsid w:val="4F62730B"/>
    <w:rsid w:val="53252A3D"/>
    <w:rsid w:val="5558042C"/>
    <w:rsid w:val="56FA74EC"/>
    <w:rsid w:val="5767239A"/>
    <w:rsid w:val="59270DD1"/>
    <w:rsid w:val="5DCE03EE"/>
    <w:rsid w:val="5E711347"/>
    <w:rsid w:val="5E9577E4"/>
    <w:rsid w:val="60012285"/>
    <w:rsid w:val="631725C7"/>
    <w:rsid w:val="67AE624F"/>
    <w:rsid w:val="69D7130C"/>
    <w:rsid w:val="6B5E71C6"/>
    <w:rsid w:val="6E846E3A"/>
    <w:rsid w:val="707B5D4B"/>
    <w:rsid w:val="72D8479F"/>
    <w:rsid w:val="72F32737"/>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1819</Words>
  <Characters>2037</Characters>
  <TotalTime>2</TotalTime>
  <ScaleCrop>false</ScaleCrop>
  <LinksUpToDate>false</LinksUpToDate>
  <CharactersWithSpaces>2841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2025-11-14T07:32:04Z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